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0F724C" w:rsidRPr="009E51FC" w:rsidRDefault="000F724C"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05584" w:rsidP="005D0621">
            <w:pPr>
              <w:rPr>
                <w:b/>
              </w:rPr>
            </w:pPr>
            <w:r>
              <w:rPr>
                <w:rStyle w:val="Firstpagetablebold"/>
              </w:rPr>
              <w:t>18 July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205584">
            <w:pPr>
              <w:rPr>
                <w:rStyle w:val="Firstpagetablebold"/>
              </w:rPr>
            </w:pPr>
            <w:r w:rsidRPr="001356F1">
              <w:rPr>
                <w:rStyle w:val="Firstpagetablebold"/>
              </w:rPr>
              <w:t xml:space="preserve">Executive Director </w:t>
            </w:r>
            <w:r w:rsidR="00205584">
              <w:rPr>
                <w:rStyle w:val="Firstpagetablebold"/>
              </w:rPr>
              <w:t>of Organisational Development and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05584" w:rsidP="004A6D2F">
            <w:pPr>
              <w:rPr>
                <w:rStyle w:val="Firstpagetablebold"/>
              </w:rPr>
            </w:pPr>
            <w:r w:rsidRPr="00205584">
              <w:rPr>
                <w:rStyle w:val="Firstpagetablebold"/>
              </w:rPr>
              <w:t>Consultation on proposals for a revised Council Tax Reduction Scheme for 2018/19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05584" w:rsidP="000F4751">
            <w:r>
              <w:t>To approve the proposals made for consultation on changes to the Council’s Council Tax Reduction Scheme for 2018/19</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05584">
            <w:r w:rsidRPr="001356F1">
              <w:t xml:space="preserve">Councillor </w:t>
            </w:r>
            <w:r w:rsidR="00205584">
              <w:t>Susan Brown</w:t>
            </w:r>
            <w:r w:rsidRPr="001356F1">
              <w:t xml:space="preserve">, </w:t>
            </w:r>
            <w:r w:rsidR="00205584">
              <w:t>Customer &amp;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205584" w:rsidP="005F7F7E">
            <w:r>
              <w:t>An efficient and effective Council</w:t>
            </w:r>
          </w:p>
          <w:p w:rsidR="00205584" w:rsidRPr="001356F1" w:rsidRDefault="00205584"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05584" w:rsidP="005F7F7E">
            <w:r>
              <w:t>Financial Inclusion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205584" w:rsidRDefault="00205584" w:rsidP="00D63E2E">
            <w:pPr>
              <w:rPr>
                <w:b/>
              </w:rPr>
            </w:pPr>
            <w:r w:rsidRPr="00205584">
              <w:rPr>
                <w:rStyle w:val="Firstpagetablebold"/>
                <w:b w:val="0"/>
              </w:rPr>
              <w:t xml:space="preserve">Agree </w:t>
            </w:r>
            <w:r w:rsidR="00F9018C">
              <w:rPr>
                <w:rStyle w:val="Firstpagetablebold"/>
                <w:b w:val="0"/>
              </w:rPr>
              <w:t xml:space="preserve">which </w:t>
            </w:r>
            <w:r w:rsidR="00A86745">
              <w:rPr>
                <w:rStyle w:val="Firstpagetablebold"/>
                <w:b w:val="0"/>
              </w:rPr>
              <w:t>o</w:t>
            </w:r>
            <w:r w:rsidRPr="00205584">
              <w:rPr>
                <w:rStyle w:val="Firstpagetablebold"/>
                <w:b w:val="0"/>
              </w:rPr>
              <w:t xml:space="preserve">ptions </w:t>
            </w:r>
            <w:r w:rsidR="00F9018C">
              <w:rPr>
                <w:rStyle w:val="Firstpagetablebold"/>
                <w:b w:val="0"/>
              </w:rPr>
              <w:t xml:space="preserve">as set out in the table at paragraph </w:t>
            </w:r>
            <w:r w:rsidR="00D63E2E">
              <w:rPr>
                <w:rStyle w:val="Firstpagetablebold"/>
                <w:b w:val="0"/>
              </w:rPr>
              <w:t>9</w:t>
            </w:r>
            <w:r w:rsidR="005105B3">
              <w:rPr>
                <w:rStyle w:val="Firstpagetablebold"/>
                <w:b w:val="0"/>
              </w:rPr>
              <w:t xml:space="preserve"> </w:t>
            </w:r>
            <w:r w:rsidR="00F9018C">
              <w:t xml:space="preserve">should be </w:t>
            </w:r>
            <w:r w:rsidRPr="00205584">
              <w:t>subject to public consultation</w:t>
            </w:r>
            <w:r w:rsidR="005105B3">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C4251B" w:rsidP="00C4251B">
            <w:r w:rsidRPr="00C4251B">
              <w:t>Consult on the proposals for an 8 week period form 19 July 2017 and</w:t>
            </w:r>
            <w:r w:rsidR="002069B3" w:rsidRPr="001356F1">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6841DF" w:rsidRPr="001356F1" w:rsidRDefault="00974EE4" w:rsidP="00821B07">
            <w:r>
              <w:t>Instruct the</w:t>
            </w:r>
            <w:r w:rsidR="006841DF">
              <w:t xml:space="preserve"> </w:t>
            </w:r>
            <w:r w:rsidR="006841DF" w:rsidRPr="006841DF">
              <w:rPr>
                <w:rStyle w:val="Firstpagetablebold"/>
                <w:b w:val="0"/>
              </w:rPr>
              <w:t>Executive Director of Organisational Development and Corporate Services</w:t>
            </w:r>
            <w:r>
              <w:rPr>
                <w:rStyle w:val="Firstpagetablebold"/>
                <w:b w:val="0"/>
              </w:rPr>
              <w:t xml:space="preserve"> to bring a further </w:t>
            </w:r>
            <w:r w:rsidR="00BF3BA1">
              <w:rPr>
                <w:rStyle w:val="Firstpagetablebold"/>
                <w:b w:val="0"/>
              </w:rPr>
              <w:t>report to</w:t>
            </w:r>
            <w:r>
              <w:rPr>
                <w:rStyle w:val="Firstpagetablebold"/>
                <w:b w:val="0"/>
              </w:rPr>
              <w:t xml:space="preserve"> December CEB</w:t>
            </w:r>
            <w:r w:rsidR="00A86745">
              <w:rPr>
                <w:rStyle w:val="Firstpagetablebold"/>
                <w:b w:val="0"/>
              </w:rPr>
              <w:t xml:space="preserve"> </w:t>
            </w:r>
            <w:r w:rsidR="00821B07">
              <w:rPr>
                <w:rStyle w:val="Firstpagetablebold"/>
                <w:b w:val="0"/>
              </w:rPr>
              <w:t>subject to the outcome of the</w:t>
            </w:r>
            <w:r w:rsidR="00A86745">
              <w:rPr>
                <w:rStyle w:val="Firstpagetablebold"/>
                <w:b w:val="0"/>
              </w:rPr>
              <w:t xml:space="preserve"> consultation </w:t>
            </w:r>
            <w:r w:rsidR="00821B07">
              <w:rPr>
                <w:rStyle w:val="Firstpagetablebold"/>
                <w:b w:val="0"/>
              </w:rPr>
              <w:t>process</w:t>
            </w:r>
            <w:r w:rsidR="004E7B1B">
              <w:rPr>
                <w:rStyle w:val="Firstpagetablebold"/>
                <w:b w:val="0"/>
              </w:rPr>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F4704" w:rsidP="004A6D2F">
            <w:r>
              <w:t>Explanation of Options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F4704" w:rsidP="004A6D2F">
            <w:r>
              <w:t>Consultation Documents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F4704"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1F4704" w:rsidP="004A6D2F">
            <w:r>
              <w:t>Initial Equality Impact Assessment</w:t>
            </w:r>
          </w:p>
        </w:tc>
      </w:tr>
    </w:tbl>
    <w:p w:rsidR="0040736F" w:rsidRPr="00B0514C" w:rsidRDefault="00F66DCA" w:rsidP="00B0514C">
      <w:pPr>
        <w:pStyle w:val="Heading1"/>
      </w:pPr>
      <w:r w:rsidRPr="00B0514C">
        <w:lastRenderedPageBreak/>
        <w:t>Introduction and b</w:t>
      </w:r>
      <w:r w:rsidR="00151888" w:rsidRPr="00B0514C">
        <w:t>ackground</w:t>
      </w:r>
      <w:r w:rsidR="00404032" w:rsidRPr="00B0514C">
        <w:t xml:space="preserve"> </w:t>
      </w: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In April 2013 the Council Tax Benefit (CTB) Scheme was replaced by a new Council Tax Reduction (CTR) Scheme. CTB </w:t>
      </w:r>
      <w:r w:rsidR="00841A90" w:rsidRPr="00B0514C">
        <w:rPr>
          <w:rFonts w:eastAsia="Calibri" w:cs="Arial"/>
          <w:color w:val="auto"/>
          <w:lang w:eastAsia="en-US"/>
        </w:rPr>
        <w:t>was</w:t>
      </w:r>
      <w:r w:rsidRPr="00B0514C">
        <w:rPr>
          <w:rFonts w:eastAsia="Calibri" w:cs="Arial"/>
          <w:color w:val="auto"/>
          <w:lang w:eastAsia="en-US"/>
        </w:rPr>
        <w:t xml:space="preserve"> funded by the Department for Work and Pensions (DWP) and supported people on low incomes by reducing the amount of Council Tax they ha</w:t>
      </w:r>
      <w:r w:rsidR="00841A90" w:rsidRPr="00B0514C">
        <w:rPr>
          <w:rFonts w:eastAsia="Calibri" w:cs="Arial"/>
          <w:color w:val="auto"/>
          <w:lang w:eastAsia="en-US"/>
        </w:rPr>
        <w:t>d</w:t>
      </w:r>
      <w:r w:rsidRPr="00B0514C">
        <w:rPr>
          <w:rFonts w:eastAsia="Calibri" w:cs="Arial"/>
          <w:color w:val="auto"/>
          <w:lang w:eastAsia="en-US"/>
        </w:rPr>
        <w:t xml:space="preserve"> to pay. </w:t>
      </w:r>
    </w:p>
    <w:p w:rsidR="00C4251B" w:rsidRPr="00B0514C" w:rsidRDefault="00C4251B" w:rsidP="00B0514C">
      <w:pPr>
        <w:pStyle w:val="ListParagraph"/>
        <w:numPr>
          <w:ilvl w:val="0"/>
          <w:numId w:val="0"/>
        </w:numPr>
        <w:spacing w:after="0"/>
        <w:ind w:left="36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The new scheme </w:t>
      </w:r>
      <w:r w:rsidR="00841A90" w:rsidRPr="00B0514C">
        <w:rPr>
          <w:rFonts w:eastAsia="Calibri" w:cs="Arial"/>
          <w:color w:val="auto"/>
          <w:lang w:eastAsia="en-US"/>
        </w:rPr>
        <w:t>is</w:t>
      </w:r>
      <w:r w:rsidRPr="00B0514C">
        <w:rPr>
          <w:rFonts w:eastAsia="Calibri" w:cs="Arial"/>
          <w:color w:val="auto"/>
          <w:lang w:eastAsia="en-US"/>
        </w:rPr>
        <w:t xml:space="preserve"> </w:t>
      </w:r>
      <w:r w:rsidR="002668A9" w:rsidRPr="00B0514C">
        <w:rPr>
          <w:rFonts w:eastAsia="Calibri" w:cs="Arial"/>
          <w:color w:val="auto"/>
          <w:lang w:eastAsia="en-US"/>
        </w:rPr>
        <w:t xml:space="preserve">for working-age customers and </w:t>
      </w:r>
      <w:r w:rsidRPr="00B0514C">
        <w:rPr>
          <w:rFonts w:eastAsia="Calibri" w:cs="Arial"/>
          <w:color w:val="auto"/>
          <w:lang w:eastAsia="en-US"/>
        </w:rPr>
        <w:t>determined local</w:t>
      </w:r>
      <w:r w:rsidR="006D734A" w:rsidRPr="00B0514C">
        <w:rPr>
          <w:rFonts w:eastAsia="Calibri" w:cs="Arial"/>
          <w:color w:val="auto"/>
          <w:lang w:eastAsia="en-US"/>
        </w:rPr>
        <w:t>ly by</w:t>
      </w:r>
      <w:r w:rsidRPr="00B0514C">
        <w:rPr>
          <w:rFonts w:eastAsia="Calibri" w:cs="Arial"/>
          <w:color w:val="auto"/>
          <w:lang w:eastAsia="en-US"/>
        </w:rPr>
        <w:t xml:space="preserve"> District Councils rather than </w:t>
      </w:r>
      <w:r w:rsidR="006D734A" w:rsidRPr="00B0514C">
        <w:rPr>
          <w:rFonts w:eastAsia="Calibri" w:cs="Arial"/>
          <w:color w:val="auto"/>
          <w:lang w:eastAsia="en-US"/>
        </w:rPr>
        <w:t xml:space="preserve">nationally by </w:t>
      </w:r>
      <w:r w:rsidRPr="00B0514C">
        <w:rPr>
          <w:rFonts w:eastAsia="Calibri" w:cs="Arial"/>
          <w:color w:val="auto"/>
          <w:lang w:eastAsia="en-US"/>
        </w:rPr>
        <w:t xml:space="preserve">the DWP. </w:t>
      </w:r>
      <w:r w:rsidR="00BD3E4E" w:rsidRPr="00B0514C">
        <w:rPr>
          <w:rFonts w:eastAsia="Calibri" w:cs="Arial"/>
          <w:color w:val="auto"/>
          <w:lang w:eastAsia="en-US"/>
        </w:rPr>
        <w:t>The</w:t>
      </w:r>
      <w:r w:rsidR="00C4251B" w:rsidRPr="00B0514C">
        <w:rPr>
          <w:rFonts w:eastAsia="Calibri" w:cs="Arial"/>
          <w:color w:val="auto"/>
          <w:lang w:eastAsia="en-US"/>
        </w:rPr>
        <w:t xml:space="preserve"> </w:t>
      </w:r>
      <w:r w:rsidR="00BD3E4E" w:rsidRPr="00B0514C">
        <w:rPr>
          <w:rFonts w:eastAsia="Calibri" w:cs="Arial"/>
          <w:color w:val="auto"/>
          <w:lang w:eastAsia="en-US"/>
        </w:rPr>
        <w:t>scheme that exists for pension age recipients is a national scheme prescribed by regulations and cannot be varied locally. Whilst</w:t>
      </w:r>
      <w:r w:rsidRPr="00B0514C">
        <w:rPr>
          <w:rFonts w:eastAsia="Calibri" w:cs="Arial"/>
          <w:color w:val="auto"/>
          <w:lang w:eastAsia="en-US"/>
        </w:rPr>
        <w:t xml:space="preserve"> the </w:t>
      </w:r>
      <w:r w:rsidR="006D734A" w:rsidRPr="00B0514C">
        <w:rPr>
          <w:rFonts w:eastAsia="Calibri" w:cs="Arial"/>
          <w:color w:val="auto"/>
          <w:lang w:eastAsia="en-US"/>
        </w:rPr>
        <w:t>G</w:t>
      </w:r>
      <w:r w:rsidRPr="00B0514C">
        <w:rPr>
          <w:rFonts w:eastAsia="Calibri" w:cs="Arial"/>
          <w:color w:val="auto"/>
          <w:lang w:eastAsia="en-US"/>
        </w:rPr>
        <w:t>overnment initially provided funding for th</w:t>
      </w:r>
      <w:r w:rsidR="006D734A" w:rsidRPr="00B0514C">
        <w:rPr>
          <w:rFonts w:eastAsia="Calibri" w:cs="Arial"/>
          <w:color w:val="auto"/>
          <w:lang w:eastAsia="en-US"/>
        </w:rPr>
        <w:t>e</w:t>
      </w:r>
      <w:r w:rsidRPr="00B0514C">
        <w:rPr>
          <w:rFonts w:eastAsia="Calibri" w:cs="Arial"/>
          <w:color w:val="auto"/>
          <w:lang w:eastAsia="en-US"/>
        </w:rPr>
        <w:t xml:space="preserve"> new </w:t>
      </w:r>
      <w:r w:rsidR="00BD3E4E" w:rsidRPr="00B0514C">
        <w:rPr>
          <w:rFonts w:eastAsia="Calibri" w:cs="Arial"/>
          <w:color w:val="auto"/>
          <w:lang w:eastAsia="en-US"/>
        </w:rPr>
        <w:t xml:space="preserve">local </w:t>
      </w:r>
      <w:r w:rsidRPr="00B0514C">
        <w:rPr>
          <w:rFonts w:eastAsia="Calibri" w:cs="Arial"/>
          <w:color w:val="auto"/>
          <w:lang w:eastAsia="en-US"/>
        </w:rPr>
        <w:t xml:space="preserve">scheme, the funding has reduced each year in line with the reduction in </w:t>
      </w:r>
      <w:r w:rsidR="00BD3E4E" w:rsidRPr="00B0514C">
        <w:rPr>
          <w:rFonts w:eastAsia="Calibri" w:cs="Arial"/>
          <w:color w:val="auto"/>
          <w:lang w:eastAsia="en-US"/>
        </w:rPr>
        <w:t>Council</w:t>
      </w:r>
      <w:r w:rsidR="000F4669" w:rsidRPr="00B0514C">
        <w:rPr>
          <w:rFonts w:eastAsia="Calibri" w:cs="Arial"/>
          <w:color w:val="auto"/>
          <w:lang w:eastAsia="en-US"/>
        </w:rPr>
        <w:t>’</w:t>
      </w:r>
      <w:r w:rsidR="00BD3E4E" w:rsidRPr="00B0514C">
        <w:rPr>
          <w:rFonts w:eastAsia="Calibri" w:cs="Arial"/>
          <w:color w:val="auto"/>
          <w:lang w:eastAsia="en-US"/>
        </w:rPr>
        <w:t xml:space="preserve">s </w:t>
      </w:r>
      <w:r w:rsidR="006D734A" w:rsidRPr="00B0514C">
        <w:rPr>
          <w:rFonts w:eastAsia="Calibri" w:cs="Arial"/>
          <w:color w:val="auto"/>
          <w:lang w:eastAsia="en-US"/>
        </w:rPr>
        <w:t>Revenue Support Grant</w:t>
      </w:r>
      <w:r w:rsidRPr="00B0514C">
        <w:rPr>
          <w:rFonts w:eastAsia="Calibri" w:cs="Arial"/>
          <w:color w:val="auto"/>
          <w:lang w:eastAsia="en-US"/>
        </w:rPr>
        <w:t xml:space="preserve">. </w:t>
      </w:r>
      <w:r w:rsidR="003D23F1" w:rsidRPr="00B0514C">
        <w:rPr>
          <w:rFonts w:eastAsia="Calibri" w:cs="Arial"/>
          <w:color w:val="auto"/>
          <w:lang w:eastAsia="en-US"/>
        </w:rPr>
        <w:t>Consequently, f</w:t>
      </w:r>
      <w:r w:rsidRPr="00B0514C">
        <w:rPr>
          <w:rFonts w:eastAsia="Calibri" w:cs="Arial"/>
          <w:color w:val="auto"/>
          <w:lang w:eastAsia="en-US"/>
        </w:rPr>
        <w:t>rom 2019 no funding will be provided for the CTR scheme.</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Oxford</w:t>
      </w:r>
      <w:r w:rsidR="003D23F1" w:rsidRPr="00B0514C">
        <w:rPr>
          <w:rFonts w:eastAsia="Calibri" w:cs="Arial"/>
          <w:color w:val="auto"/>
          <w:lang w:eastAsia="en-US"/>
        </w:rPr>
        <w:t xml:space="preserve"> </w:t>
      </w:r>
      <w:r w:rsidR="00821B07" w:rsidRPr="00B0514C">
        <w:rPr>
          <w:rFonts w:eastAsia="Calibri" w:cs="Arial"/>
          <w:color w:val="auto"/>
          <w:lang w:eastAsia="en-US"/>
        </w:rPr>
        <w:t xml:space="preserve">City Council </w:t>
      </w:r>
      <w:r w:rsidR="003D23F1" w:rsidRPr="00B0514C">
        <w:rPr>
          <w:rFonts w:eastAsia="Calibri" w:cs="Arial"/>
          <w:color w:val="auto"/>
          <w:lang w:eastAsia="en-US"/>
        </w:rPr>
        <w:t>i</w:t>
      </w:r>
      <w:r w:rsidRPr="00B0514C">
        <w:rPr>
          <w:rFonts w:eastAsia="Calibri" w:cs="Arial"/>
          <w:color w:val="auto"/>
          <w:lang w:eastAsia="en-US"/>
        </w:rPr>
        <w:t xml:space="preserve">s </w:t>
      </w:r>
      <w:r w:rsidR="003D23F1" w:rsidRPr="00B0514C">
        <w:rPr>
          <w:rFonts w:eastAsia="Calibri" w:cs="Arial"/>
          <w:color w:val="auto"/>
          <w:lang w:eastAsia="en-US"/>
        </w:rPr>
        <w:t xml:space="preserve">one of only 37 Councils whose </w:t>
      </w:r>
      <w:r w:rsidRPr="00B0514C">
        <w:rPr>
          <w:rFonts w:eastAsia="Calibri" w:cs="Arial"/>
          <w:color w:val="auto"/>
          <w:lang w:eastAsia="en-US"/>
        </w:rPr>
        <w:t xml:space="preserve">CTR scheme has </w:t>
      </w:r>
      <w:r w:rsidR="000F4669" w:rsidRPr="00B0514C">
        <w:rPr>
          <w:rFonts w:eastAsia="Calibri" w:cs="Arial"/>
          <w:color w:val="auto"/>
          <w:lang w:eastAsia="en-US"/>
        </w:rPr>
        <w:t>maintained</w:t>
      </w:r>
      <w:r w:rsidRPr="00B0514C">
        <w:rPr>
          <w:rFonts w:eastAsia="Calibri" w:cs="Arial"/>
          <w:color w:val="auto"/>
          <w:lang w:eastAsia="en-US"/>
        </w:rPr>
        <w:t xml:space="preserve"> the same level of financial support as existed within the CTB scheme. </w:t>
      </w:r>
      <w:r w:rsidR="003D23F1" w:rsidRPr="00B0514C">
        <w:rPr>
          <w:rFonts w:eastAsia="Calibri" w:cs="Arial"/>
          <w:color w:val="auto"/>
          <w:lang w:eastAsia="en-US"/>
        </w:rPr>
        <w:t>M</w:t>
      </w:r>
      <w:r w:rsidRPr="00B0514C">
        <w:rPr>
          <w:rFonts w:eastAsia="Calibri" w:cs="Arial"/>
          <w:color w:val="auto"/>
          <w:lang w:eastAsia="en-US"/>
        </w:rPr>
        <w:t xml:space="preserve">ost </w:t>
      </w:r>
      <w:proofErr w:type="gramStart"/>
      <w:r w:rsidR="003D23F1" w:rsidRPr="00B0514C">
        <w:rPr>
          <w:rFonts w:eastAsia="Calibri" w:cs="Arial"/>
          <w:color w:val="auto"/>
          <w:lang w:eastAsia="en-US"/>
        </w:rPr>
        <w:t>Councils</w:t>
      </w:r>
      <w:proofErr w:type="gramEnd"/>
      <w:r w:rsidR="003D23F1" w:rsidRPr="00B0514C">
        <w:rPr>
          <w:rFonts w:eastAsia="Calibri" w:cs="Arial"/>
          <w:color w:val="auto"/>
          <w:lang w:eastAsia="en-US"/>
        </w:rPr>
        <w:t xml:space="preserve"> have </w:t>
      </w:r>
      <w:r w:rsidRPr="00B0514C">
        <w:rPr>
          <w:rFonts w:eastAsia="Calibri" w:cs="Arial"/>
          <w:color w:val="auto"/>
          <w:lang w:eastAsia="en-US"/>
        </w:rPr>
        <w:t>reduc</w:t>
      </w:r>
      <w:r w:rsidR="003D23F1" w:rsidRPr="00B0514C">
        <w:rPr>
          <w:rFonts w:eastAsia="Calibri" w:cs="Arial"/>
          <w:color w:val="auto"/>
          <w:lang w:eastAsia="en-US"/>
        </w:rPr>
        <w:t>ed</w:t>
      </w:r>
      <w:r w:rsidRPr="00B0514C">
        <w:rPr>
          <w:rFonts w:eastAsia="Calibri" w:cs="Arial"/>
          <w:color w:val="auto"/>
          <w:lang w:eastAsia="en-US"/>
        </w:rPr>
        <w:t xml:space="preserve"> the cost of their schemes by providing a lower level of support. Oxford</w:t>
      </w:r>
      <w:r w:rsidR="00821B07" w:rsidRPr="00B0514C">
        <w:rPr>
          <w:rFonts w:eastAsia="Calibri" w:cs="Arial"/>
          <w:color w:val="auto"/>
          <w:lang w:eastAsia="en-US"/>
        </w:rPr>
        <w:t xml:space="preserve"> City Council</w:t>
      </w:r>
      <w:r w:rsidRPr="00B0514C">
        <w:rPr>
          <w:rFonts w:eastAsia="Calibri" w:cs="Arial"/>
          <w:color w:val="auto"/>
          <w:lang w:eastAsia="en-US"/>
        </w:rPr>
        <w:t>’s scheme will cost £1.2m for the current year, and from 2019 will cost a minimum of £1.8m.</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Councils </w:t>
      </w:r>
      <w:r w:rsidR="00961166" w:rsidRPr="00B0514C">
        <w:rPr>
          <w:rFonts w:eastAsia="Calibri" w:cs="Arial"/>
          <w:color w:val="auto"/>
          <w:lang w:eastAsia="en-US"/>
        </w:rPr>
        <w:t xml:space="preserve">are required </w:t>
      </w:r>
      <w:r w:rsidRPr="00B0514C">
        <w:rPr>
          <w:rFonts w:eastAsia="Calibri" w:cs="Arial"/>
          <w:color w:val="auto"/>
          <w:lang w:eastAsia="en-US"/>
        </w:rPr>
        <w:t>to revi</w:t>
      </w:r>
      <w:r w:rsidR="000747BB" w:rsidRPr="00B0514C">
        <w:rPr>
          <w:rFonts w:eastAsia="Calibri" w:cs="Arial"/>
          <w:color w:val="auto"/>
          <w:lang w:eastAsia="en-US"/>
        </w:rPr>
        <w:t>ew</w:t>
      </w:r>
      <w:r w:rsidRPr="00B0514C">
        <w:rPr>
          <w:rFonts w:eastAsia="Calibri" w:cs="Arial"/>
          <w:color w:val="auto"/>
          <w:lang w:eastAsia="en-US"/>
        </w:rPr>
        <w:t xml:space="preserve"> their </w:t>
      </w:r>
      <w:r w:rsidR="00BF3BA1" w:rsidRPr="00B0514C">
        <w:rPr>
          <w:rFonts w:eastAsia="Calibri" w:cs="Arial"/>
          <w:color w:val="auto"/>
          <w:lang w:eastAsia="en-US"/>
        </w:rPr>
        <w:t>CTR</w:t>
      </w:r>
      <w:r w:rsidRPr="00B0514C">
        <w:rPr>
          <w:rFonts w:eastAsia="Calibri" w:cs="Arial"/>
          <w:color w:val="auto"/>
          <w:lang w:eastAsia="en-US"/>
        </w:rPr>
        <w:t xml:space="preserve"> </w:t>
      </w:r>
      <w:r w:rsidR="00BF3BA1" w:rsidRPr="00B0514C">
        <w:rPr>
          <w:rFonts w:eastAsia="Calibri" w:cs="Arial"/>
          <w:color w:val="auto"/>
          <w:lang w:eastAsia="en-US"/>
        </w:rPr>
        <w:t>s</w:t>
      </w:r>
      <w:r w:rsidRPr="00B0514C">
        <w:rPr>
          <w:rFonts w:eastAsia="Calibri" w:cs="Arial"/>
          <w:color w:val="auto"/>
          <w:lang w:eastAsia="en-US"/>
        </w:rPr>
        <w:t xml:space="preserve">cheme </w:t>
      </w:r>
      <w:r w:rsidR="000747BB" w:rsidRPr="00B0514C">
        <w:rPr>
          <w:rFonts w:eastAsia="Calibri" w:cs="Arial"/>
          <w:color w:val="auto"/>
          <w:lang w:eastAsia="en-US"/>
        </w:rPr>
        <w:t xml:space="preserve">on an annual basis </w:t>
      </w:r>
      <w:r w:rsidRPr="00B0514C">
        <w:rPr>
          <w:rFonts w:eastAsia="Calibri" w:cs="Arial"/>
          <w:color w:val="auto"/>
          <w:lang w:eastAsia="en-US"/>
        </w:rPr>
        <w:t>and de</w:t>
      </w:r>
      <w:r w:rsidR="00FB1EE0" w:rsidRPr="00B0514C">
        <w:rPr>
          <w:rFonts w:eastAsia="Calibri" w:cs="Arial"/>
          <w:color w:val="auto"/>
          <w:lang w:eastAsia="en-US"/>
        </w:rPr>
        <w:t xml:space="preserve">termine </w:t>
      </w:r>
      <w:r w:rsidRPr="00B0514C">
        <w:rPr>
          <w:rFonts w:eastAsia="Calibri" w:cs="Arial"/>
          <w:color w:val="auto"/>
          <w:lang w:eastAsia="en-US"/>
        </w:rPr>
        <w:t>whether to revise it</w:t>
      </w:r>
      <w:r w:rsidR="00961166" w:rsidRPr="00B0514C">
        <w:rPr>
          <w:rFonts w:eastAsia="Calibri" w:cs="Arial"/>
          <w:color w:val="auto"/>
          <w:lang w:eastAsia="en-US"/>
        </w:rPr>
        <w:t xml:space="preserve"> or not</w:t>
      </w:r>
      <w:r w:rsidRPr="00B0514C">
        <w:rPr>
          <w:rFonts w:eastAsia="Calibri" w:cs="Arial"/>
          <w:color w:val="auto"/>
          <w:lang w:eastAsia="en-US"/>
        </w:rPr>
        <w:t xml:space="preserve">. Since the </w:t>
      </w:r>
      <w:r w:rsidR="00961166" w:rsidRPr="00B0514C">
        <w:rPr>
          <w:rFonts w:eastAsia="Calibri" w:cs="Arial"/>
          <w:color w:val="auto"/>
          <w:lang w:eastAsia="en-US"/>
        </w:rPr>
        <w:t xml:space="preserve">introduction of the </w:t>
      </w:r>
      <w:r w:rsidRPr="00B0514C">
        <w:rPr>
          <w:rFonts w:eastAsia="Calibri" w:cs="Arial"/>
          <w:color w:val="auto"/>
          <w:lang w:eastAsia="en-US"/>
        </w:rPr>
        <w:t xml:space="preserve">CTR scheme </w:t>
      </w:r>
      <w:r w:rsidR="00AA2DC2" w:rsidRPr="00B0514C">
        <w:rPr>
          <w:rFonts w:eastAsia="Calibri" w:cs="Arial"/>
          <w:color w:val="auto"/>
          <w:lang w:eastAsia="en-US"/>
        </w:rPr>
        <w:t xml:space="preserve">there have been </w:t>
      </w:r>
      <w:r w:rsidRPr="00B0514C">
        <w:rPr>
          <w:rFonts w:eastAsia="Calibri" w:cs="Arial"/>
          <w:color w:val="auto"/>
          <w:lang w:eastAsia="en-US"/>
        </w:rPr>
        <w:t xml:space="preserve">many changes </w:t>
      </w:r>
      <w:r w:rsidR="00AA2DC2" w:rsidRPr="00B0514C">
        <w:rPr>
          <w:rFonts w:eastAsia="Calibri" w:cs="Arial"/>
          <w:color w:val="auto"/>
          <w:lang w:eastAsia="en-US"/>
        </w:rPr>
        <w:t>to the benefits regime</w:t>
      </w:r>
      <w:r w:rsidRPr="00B0514C">
        <w:rPr>
          <w:rFonts w:eastAsia="Calibri" w:cs="Arial"/>
          <w:color w:val="auto"/>
          <w:lang w:eastAsia="en-US"/>
        </w:rPr>
        <w:t xml:space="preserve">. </w:t>
      </w:r>
      <w:r w:rsidR="00AA2DC2" w:rsidRPr="00B0514C">
        <w:rPr>
          <w:rFonts w:eastAsia="Calibri" w:cs="Arial"/>
          <w:color w:val="auto"/>
          <w:lang w:eastAsia="en-US"/>
        </w:rPr>
        <w:t>Therefore</w:t>
      </w:r>
      <w:r w:rsidR="005C17A6" w:rsidRPr="00B0514C">
        <w:rPr>
          <w:rFonts w:eastAsia="Calibri" w:cs="Arial"/>
          <w:color w:val="auto"/>
          <w:lang w:eastAsia="en-US"/>
        </w:rPr>
        <w:t xml:space="preserve">, </w:t>
      </w:r>
      <w:r w:rsidRPr="00B0514C">
        <w:rPr>
          <w:rFonts w:eastAsia="Calibri" w:cs="Arial"/>
          <w:color w:val="auto"/>
          <w:lang w:eastAsia="en-US"/>
        </w:rPr>
        <w:t>it is a</w:t>
      </w:r>
      <w:r w:rsidR="00AA2DC2" w:rsidRPr="00B0514C">
        <w:rPr>
          <w:rFonts w:eastAsia="Calibri" w:cs="Arial"/>
          <w:color w:val="auto"/>
          <w:lang w:eastAsia="en-US"/>
        </w:rPr>
        <w:t>ppropriate for the Council</w:t>
      </w:r>
      <w:r w:rsidRPr="00B0514C">
        <w:rPr>
          <w:rFonts w:eastAsia="Calibri" w:cs="Arial"/>
          <w:color w:val="auto"/>
          <w:lang w:eastAsia="en-US"/>
        </w:rPr>
        <w:t xml:space="preserve"> to revisit </w:t>
      </w:r>
      <w:r w:rsidR="00AA2DC2" w:rsidRPr="00B0514C">
        <w:rPr>
          <w:rFonts w:eastAsia="Calibri" w:cs="Arial"/>
          <w:color w:val="auto"/>
          <w:lang w:eastAsia="en-US"/>
        </w:rPr>
        <w:t>its</w:t>
      </w:r>
      <w:r w:rsidRPr="00B0514C">
        <w:rPr>
          <w:rFonts w:eastAsia="Calibri" w:cs="Arial"/>
          <w:color w:val="auto"/>
          <w:lang w:eastAsia="en-US"/>
        </w:rPr>
        <w:t xml:space="preserve"> existing </w:t>
      </w:r>
      <w:r w:rsidR="00F01853" w:rsidRPr="00B0514C">
        <w:rPr>
          <w:rFonts w:eastAsia="Calibri" w:cs="Arial"/>
          <w:color w:val="auto"/>
          <w:lang w:eastAsia="en-US"/>
        </w:rPr>
        <w:t>arrangements</w:t>
      </w:r>
      <w:r w:rsidRPr="00B0514C">
        <w:rPr>
          <w:rFonts w:eastAsia="Calibri" w:cs="Arial"/>
          <w:color w:val="auto"/>
          <w:lang w:eastAsia="en-US"/>
        </w:rPr>
        <w:t xml:space="preserve"> </w:t>
      </w:r>
      <w:r w:rsidR="005C17A6" w:rsidRPr="00B0514C">
        <w:rPr>
          <w:rFonts w:eastAsia="Calibri" w:cs="Arial"/>
          <w:color w:val="auto"/>
          <w:lang w:eastAsia="en-US"/>
        </w:rPr>
        <w:t>to</w:t>
      </w:r>
      <w:r w:rsidRPr="00B0514C">
        <w:rPr>
          <w:rFonts w:eastAsia="Calibri" w:cs="Arial"/>
          <w:color w:val="auto"/>
          <w:lang w:eastAsia="en-US"/>
        </w:rPr>
        <w:t xml:space="preserve"> ensure </w:t>
      </w:r>
      <w:r w:rsidR="005C17A6" w:rsidRPr="00B0514C">
        <w:rPr>
          <w:rFonts w:eastAsia="Calibri" w:cs="Arial"/>
          <w:color w:val="auto"/>
          <w:lang w:eastAsia="en-US"/>
        </w:rPr>
        <w:t xml:space="preserve">they are </w:t>
      </w:r>
      <w:r w:rsidRPr="00B0514C">
        <w:rPr>
          <w:rFonts w:eastAsia="Calibri" w:cs="Arial"/>
          <w:color w:val="auto"/>
          <w:lang w:eastAsia="en-US"/>
        </w:rPr>
        <w:t>align</w:t>
      </w:r>
      <w:r w:rsidR="005C17A6" w:rsidRPr="00B0514C">
        <w:rPr>
          <w:rFonts w:eastAsia="Calibri" w:cs="Arial"/>
          <w:color w:val="auto"/>
          <w:lang w:eastAsia="en-US"/>
        </w:rPr>
        <w:t>ed with</w:t>
      </w:r>
      <w:r w:rsidRPr="00B0514C">
        <w:rPr>
          <w:rFonts w:eastAsia="Calibri" w:cs="Arial"/>
          <w:color w:val="auto"/>
          <w:lang w:eastAsia="en-US"/>
        </w:rPr>
        <w:t xml:space="preserve"> relevant benefit legislation.</w:t>
      </w:r>
      <w:r w:rsidR="001F4704" w:rsidRPr="00B0514C">
        <w:rPr>
          <w:rFonts w:eastAsia="Calibri" w:cs="Arial"/>
          <w:color w:val="auto"/>
          <w:lang w:eastAsia="en-US"/>
        </w:rPr>
        <w:t xml:space="preserve"> </w:t>
      </w:r>
      <w:r w:rsidRPr="00B0514C">
        <w:rPr>
          <w:rFonts w:eastAsia="Calibri" w:cs="Arial"/>
          <w:color w:val="auto"/>
          <w:lang w:eastAsia="en-US"/>
        </w:rPr>
        <w:t>In addition</w:t>
      </w:r>
      <w:r w:rsidR="00FB1EE0" w:rsidRPr="00B0514C">
        <w:rPr>
          <w:rFonts w:eastAsia="Calibri" w:cs="Arial"/>
          <w:color w:val="auto"/>
          <w:lang w:eastAsia="en-US"/>
        </w:rPr>
        <w:t>,</w:t>
      </w:r>
      <w:r w:rsidRPr="00B0514C">
        <w:rPr>
          <w:rFonts w:eastAsia="Calibri" w:cs="Arial"/>
          <w:color w:val="auto"/>
          <w:lang w:eastAsia="en-US"/>
        </w:rPr>
        <w:t xml:space="preserve"> Universal Credit will start to be rolled out to all customer types in Oxford from October 2017. This pr</w:t>
      </w:r>
      <w:r w:rsidR="00C975CE" w:rsidRPr="00B0514C">
        <w:rPr>
          <w:rFonts w:eastAsia="Calibri" w:cs="Arial"/>
          <w:color w:val="auto"/>
          <w:lang w:eastAsia="en-US"/>
        </w:rPr>
        <w:t>esents</w:t>
      </w:r>
      <w:r w:rsidRPr="00B0514C">
        <w:rPr>
          <w:rFonts w:eastAsia="Calibri" w:cs="Arial"/>
          <w:color w:val="auto"/>
          <w:lang w:eastAsia="en-US"/>
        </w:rPr>
        <w:t xml:space="preserve"> an opportunity to develop a separate CTR scheme for th</w:t>
      </w:r>
      <w:r w:rsidR="00FB1EE0" w:rsidRPr="00B0514C">
        <w:rPr>
          <w:rFonts w:eastAsia="Calibri" w:cs="Arial"/>
          <w:color w:val="auto"/>
          <w:lang w:eastAsia="en-US"/>
        </w:rPr>
        <w:t>ose</w:t>
      </w:r>
      <w:r w:rsidRPr="00B0514C">
        <w:rPr>
          <w:rFonts w:eastAsia="Calibri" w:cs="Arial"/>
          <w:color w:val="auto"/>
          <w:lang w:eastAsia="en-US"/>
        </w:rPr>
        <w:t xml:space="preserve"> customers, which is aligned to the new benefit.</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In order to change</w:t>
      </w:r>
      <w:r w:rsidR="00C975CE" w:rsidRPr="00B0514C">
        <w:rPr>
          <w:rFonts w:eastAsia="Calibri" w:cs="Arial"/>
          <w:color w:val="auto"/>
          <w:lang w:eastAsia="en-US"/>
        </w:rPr>
        <w:t xml:space="preserve"> its</w:t>
      </w:r>
      <w:r w:rsidRPr="00B0514C">
        <w:rPr>
          <w:rFonts w:eastAsia="Calibri" w:cs="Arial"/>
          <w:color w:val="auto"/>
          <w:lang w:eastAsia="en-US"/>
        </w:rPr>
        <w:t xml:space="preserve"> scheme </w:t>
      </w:r>
      <w:r w:rsidR="00C975CE" w:rsidRPr="00B0514C">
        <w:rPr>
          <w:rFonts w:eastAsia="Calibri" w:cs="Arial"/>
          <w:color w:val="auto"/>
          <w:lang w:eastAsia="en-US"/>
        </w:rPr>
        <w:t xml:space="preserve">a </w:t>
      </w:r>
      <w:r w:rsidR="0013023C" w:rsidRPr="00B0514C">
        <w:rPr>
          <w:rFonts w:eastAsia="Calibri" w:cs="Arial"/>
          <w:color w:val="auto"/>
          <w:lang w:eastAsia="en-US"/>
        </w:rPr>
        <w:t xml:space="preserve">council </w:t>
      </w:r>
      <w:r w:rsidR="00C975CE" w:rsidRPr="00B0514C">
        <w:rPr>
          <w:rFonts w:eastAsia="Calibri" w:cs="Arial"/>
          <w:color w:val="auto"/>
          <w:lang w:eastAsia="en-US"/>
        </w:rPr>
        <w:t>is</w:t>
      </w:r>
      <w:r w:rsidRPr="00B0514C">
        <w:rPr>
          <w:rFonts w:eastAsia="Calibri" w:cs="Arial"/>
          <w:color w:val="auto"/>
          <w:lang w:eastAsia="en-US"/>
        </w:rPr>
        <w:t xml:space="preserve"> required by law to:</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Consult with the major </w:t>
      </w:r>
      <w:proofErr w:type="spellStart"/>
      <w:r w:rsidRPr="00B0514C">
        <w:rPr>
          <w:rFonts w:eastAsia="Calibri" w:cs="Arial"/>
          <w:color w:val="auto"/>
          <w:lang w:eastAsia="en-US"/>
        </w:rPr>
        <w:t>precepting</w:t>
      </w:r>
      <w:proofErr w:type="spellEnd"/>
      <w:r w:rsidRPr="00B0514C">
        <w:rPr>
          <w:rFonts w:eastAsia="Calibri" w:cs="Arial"/>
          <w:color w:val="auto"/>
          <w:lang w:eastAsia="en-US"/>
        </w:rPr>
        <w:t xml:space="preserve"> authorities</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Consult with other persons it considers are likely to have an interest in the operation of the scheme.</w:t>
      </w:r>
    </w:p>
    <w:p w:rsidR="00205584" w:rsidRPr="00B0514C" w:rsidRDefault="00205584" w:rsidP="00B0514C">
      <w:pPr>
        <w:pStyle w:val="ListParagraph"/>
        <w:numPr>
          <w:ilvl w:val="0"/>
          <w:numId w:val="0"/>
        </w:numPr>
        <w:spacing w:after="0"/>
        <w:ind w:left="360"/>
        <w:rPr>
          <w:rFonts w:eastAsia="Calibri" w:cs="Arial"/>
          <w:color w:val="auto"/>
          <w:lang w:eastAsia="en-US"/>
        </w:rPr>
      </w:pPr>
      <w:r w:rsidRPr="00B0514C">
        <w:rPr>
          <w:rFonts w:eastAsia="Calibri" w:cs="Arial"/>
          <w:color w:val="auto"/>
          <w:lang w:eastAsia="en-US"/>
        </w:rPr>
        <w:t xml:space="preserve">The Council Tax Reduction Scheme </w:t>
      </w:r>
      <w:r w:rsidR="004C4373" w:rsidRPr="00B0514C">
        <w:rPr>
          <w:rFonts w:eastAsia="Calibri" w:cs="Arial"/>
          <w:color w:val="auto"/>
          <w:lang w:eastAsia="en-US"/>
        </w:rPr>
        <w:t xml:space="preserve">itself </w:t>
      </w:r>
      <w:r w:rsidRPr="00B0514C">
        <w:rPr>
          <w:rFonts w:eastAsia="Calibri" w:cs="Arial"/>
          <w:color w:val="auto"/>
          <w:lang w:eastAsia="en-US"/>
        </w:rPr>
        <w:t>must be adopted by Full Council, and cannot be delegated to an Officer or Committee.</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Local Schemes must take account of and</w:t>
      </w:r>
      <w:r w:rsidR="00821B07" w:rsidRPr="00B0514C">
        <w:rPr>
          <w:rFonts w:eastAsia="Calibri" w:cs="Arial"/>
          <w:color w:val="auto"/>
          <w:lang w:eastAsia="en-US"/>
        </w:rPr>
        <w:t xml:space="preserve"> support</w:t>
      </w:r>
      <w:r w:rsidRPr="00B0514C">
        <w:rPr>
          <w:rFonts w:eastAsia="Calibri" w:cs="Arial"/>
          <w:color w:val="auto"/>
          <w:lang w:eastAsia="en-US"/>
        </w:rPr>
        <w:t>:</w:t>
      </w:r>
    </w:p>
    <w:p w:rsidR="00205584" w:rsidRPr="00B0514C" w:rsidRDefault="00821B07"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W</w:t>
      </w:r>
      <w:r w:rsidR="00205584" w:rsidRPr="00B0514C">
        <w:rPr>
          <w:rFonts w:eastAsia="Calibri" w:cs="Arial"/>
          <w:color w:val="auto"/>
          <w:lang w:eastAsia="en-US"/>
        </w:rPr>
        <w:t>ork incentives and in particular avoid disincentives for those moving into work</w:t>
      </w:r>
    </w:p>
    <w:p w:rsidR="00205584" w:rsidRPr="00B0514C" w:rsidRDefault="00821B07"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The Council’s</w:t>
      </w:r>
      <w:r w:rsidR="00205584" w:rsidRPr="00B0514C">
        <w:rPr>
          <w:rFonts w:eastAsia="Calibri" w:cs="Arial"/>
          <w:color w:val="auto"/>
          <w:lang w:eastAsia="en-US"/>
        </w:rPr>
        <w:t xml:space="preserve"> duties</w:t>
      </w:r>
      <w:r w:rsidRPr="00B0514C">
        <w:rPr>
          <w:rFonts w:eastAsia="Calibri" w:cs="Arial"/>
          <w:color w:val="auto"/>
          <w:lang w:eastAsia="en-US"/>
        </w:rPr>
        <w:t xml:space="preserve"> to protect vulnerable people (</w:t>
      </w:r>
      <w:r w:rsidR="00205584" w:rsidRPr="00B0514C">
        <w:rPr>
          <w:rFonts w:eastAsia="Calibri" w:cs="Arial"/>
          <w:color w:val="auto"/>
          <w:lang w:eastAsia="en-US"/>
        </w:rPr>
        <w:t>under the Equality Act 2010, The Care Act 2014, Child Poverty Act 2010, The Housing Act 1996)</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The Armed Forces Covenant</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The table below set</w:t>
      </w:r>
      <w:r w:rsidR="001F4704" w:rsidRPr="00B0514C">
        <w:rPr>
          <w:rFonts w:eastAsia="Calibri" w:cs="Arial"/>
          <w:color w:val="auto"/>
          <w:lang w:eastAsia="en-US"/>
        </w:rPr>
        <w:t>s</w:t>
      </w:r>
      <w:r w:rsidRPr="00B0514C">
        <w:rPr>
          <w:rFonts w:eastAsia="Calibri" w:cs="Arial"/>
          <w:color w:val="auto"/>
          <w:lang w:eastAsia="en-US"/>
        </w:rPr>
        <w:t xml:space="preserve"> out the cost and caseload </w:t>
      </w:r>
      <w:r w:rsidR="00E00B60" w:rsidRPr="00B0514C">
        <w:rPr>
          <w:rFonts w:eastAsia="Calibri" w:cs="Arial"/>
          <w:color w:val="auto"/>
          <w:lang w:eastAsia="en-US"/>
        </w:rPr>
        <w:t xml:space="preserve">for </w:t>
      </w:r>
      <w:r w:rsidR="004C4373" w:rsidRPr="00B0514C">
        <w:rPr>
          <w:rFonts w:eastAsia="Calibri" w:cs="Arial"/>
          <w:color w:val="auto"/>
          <w:lang w:eastAsia="en-US"/>
        </w:rPr>
        <w:t xml:space="preserve">the Council’s </w:t>
      </w:r>
      <w:r w:rsidRPr="00B0514C">
        <w:rPr>
          <w:rFonts w:eastAsia="Calibri" w:cs="Arial"/>
          <w:color w:val="auto"/>
          <w:lang w:eastAsia="en-US"/>
        </w:rPr>
        <w:t xml:space="preserve">CTR </w:t>
      </w:r>
      <w:r w:rsidR="00624855" w:rsidRPr="00B0514C">
        <w:rPr>
          <w:rFonts w:eastAsia="Calibri" w:cs="Arial"/>
          <w:color w:val="auto"/>
          <w:lang w:eastAsia="en-US"/>
        </w:rPr>
        <w:t xml:space="preserve">scheme </w:t>
      </w:r>
      <w:r w:rsidR="00E00B60" w:rsidRPr="00B0514C">
        <w:rPr>
          <w:rFonts w:eastAsia="Calibri" w:cs="Arial"/>
          <w:color w:val="auto"/>
          <w:lang w:eastAsia="en-US"/>
        </w:rPr>
        <w:t>since it</w:t>
      </w:r>
      <w:r w:rsidR="00624855" w:rsidRPr="00B0514C">
        <w:rPr>
          <w:rFonts w:eastAsia="Calibri" w:cs="Arial"/>
          <w:color w:val="auto"/>
          <w:lang w:eastAsia="en-US"/>
        </w:rPr>
        <w:t>s</w:t>
      </w:r>
      <w:r w:rsidR="00821B07" w:rsidRPr="00B0514C">
        <w:rPr>
          <w:rFonts w:eastAsia="Calibri" w:cs="Arial"/>
          <w:color w:val="auto"/>
          <w:lang w:eastAsia="en-US"/>
        </w:rPr>
        <w:t xml:space="preserve"> </w:t>
      </w:r>
      <w:r w:rsidR="00624855" w:rsidRPr="00B0514C">
        <w:rPr>
          <w:rFonts w:eastAsia="Calibri" w:cs="Arial"/>
          <w:color w:val="auto"/>
          <w:lang w:eastAsia="en-US"/>
        </w:rPr>
        <w:t>introduction</w:t>
      </w:r>
      <w:r w:rsidRPr="00B0514C">
        <w:rPr>
          <w:rFonts w:eastAsia="Calibri" w:cs="Arial"/>
          <w:color w:val="auto"/>
          <w:lang w:eastAsia="en-US"/>
        </w:rPr>
        <w:t>. The cost of the scheme is shared by the</w:t>
      </w:r>
      <w:r w:rsidR="00821B07" w:rsidRPr="00B0514C">
        <w:rPr>
          <w:rFonts w:eastAsia="Calibri" w:cs="Arial"/>
          <w:color w:val="auto"/>
          <w:lang w:eastAsia="en-US"/>
        </w:rPr>
        <w:t xml:space="preserve"> Oxford</w:t>
      </w:r>
      <w:r w:rsidRPr="00B0514C">
        <w:rPr>
          <w:rFonts w:eastAsia="Calibri" w:cs="Arial"/>
          <w:color w:val="auto"/>
          <w:lang w:eastAsia="en-US"/>
        </w:rPr>
        <w:t xml:space="preserve"> City Council</w:t>
      </w:r>
      <w:r w:rsidR="00E00B60" w:rsidRPr="00B0514C">
        <w:rPr>
          <w:rFonts w:eastAsia="Calibri" w:cs="Arial"/>
          <w:color w:val="auto"/>
          <w:lang w:eastAsia="en-US"/>
        </w:rPr>
        <w:t xml:space="preserve"> </w:t>
      </w:r>
      <w:r w:rsidRPr="00B0514C">
        <w:rPr>
          <w:rFonts w:eastAsia="Calibri" w:cs="Arial"/>
          <w:color w:val="auto"/>
          <w:lang w:eastAsia="en-US"/>
        </w:rPr>
        <w:t>(16.3%), Oxfordshire County Council</w:t>
      </w:r>
      <w:r w:rsidR="00E00B60" w:rsidRPr="00B0514C">
        <w:rPr>
          <w:rFonts w:eastAsia="Calibri" w:cs="Arial"/>
          <w:color w:val="auto"/>
          <w:lang w:eastAsia="en-US"/>
        </w:rPr>
        <w:t xml:space="preserve"> </w:t>
      </w:r>
      <w:r w:rsidRPr="00B0514C">
        <w:rPr>
          <w:rFonts w:eastAsia="Calibri" w:cs="Arial"/>
          <w:color w:val="auto"/>
          <w:lang w:eastAsia="en-US"/>
        </w:rPr>
        <w:t>(74.3%) and Thames Valley Police</w:t>
      </w:r>
      <w:r w:rsidR="00E00B60" w:rsidRPr="00B0514C">
        <w:rPr>
          <w:rFonts w:eastAsia="Calibri" w:cs="Arial"/>
          <w:color w:val="auto"/>
          <w:lang w:eastAsia="en-US"/>
        </w:rPr>
        <w:t xml:space="preserve"> </w:t>
      </w:r>
      <w:r w:rsidRPr="00B0514C">
        <w:rPr>
          <w:rFonts w:eastAsia="Calibri" w:cs="Arial"/>
          <w:color w:val="auto"/>
          <w:lang w:eastAsia="en-US"/>
        </w:rPr>
        <w:t xml:space="preserve">(9.4%) in accordance with the proportion of Council Tax levied by each. The table shows that the gap between the net and gross cost to the Council is narrowing as government grant reduces. </w:t>
      </w:r>
    </w:p>
    <w:p w:rsidR="00205584" w:rsidRPr="00B0514C" w:rsidRDefault="007B3182" w:rsidP="00C4251B">
      <w:pPr>
        <w:pStyle w:val="ListParagraph"/>
        <w:numPr>
          <w:ilvl w:val="0"/>
          <w:numId w:val="0"/>
        </w:numPr>
        <w:spacing w:after="0"/>
        <w:ind w:left="720"/>
        <w:jc w:val="both"/>
        <w:rPr>
          <w:rFonts w:eastAsia="Calibri" w:cs="Arial"/>
          <w:color w:val="auto"/>
          <w:lang w:eastAsia="en-US"/>
        </w:rPr>
      </w:pPr>
      <w:r w:rsidRPr="00B0514C">
        <w:rPr>
          <w:rFonts w:eastAsia="Calibri"/>
          <w:noProof/>
        </w:rPr>
        <w:lastRenderedPageBreak/>
        <w:drawing>
          <wp:inline distT="0" distB="0" distL="0" distR="0" wp14:anchorId="7EA03C5B" wp14:editId="643866CB">
            <wp:extent cx="5730240" cy="177800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1778000"/>
                    </a:xfrm>
                    <a:prstGeom prst="rect">
                      <a:avLst/>
                    </a:prstGeom>
                    <a:noFill/>
                    <a:ln>
                      <a:noFill/>
                    </a:ln>
                  </pic:spPr>
                </pic:pic>
              </a:graphicData>
            </a:graphic>
          </wp:inline>
        </w:drawing>
      </w:r>
    </w:p>
    <w:p w:rsidR="00205584" w:rsidRPr="00B0514C" w:rsidRDefault="00205584" w:rsidP="00205584">
      <w:pPr>
        <w:spacing w:after="0"/>
        <w:rPr>
          <w:rFonts w:eastAsia="Calibri" w:cs="Arial"/>
          <w:color w:val="auto"/>
          <w:lang w:eastAsia="en-US"/>
        </w:rPr>
      </w:pPr>
    </w:p>
    <w:p w:rsidR="00205584" w:rsidRDefault="00205584" w:rsidP="00B0514C">
      <w:pPr>
        <w:pStyle w:val="ListParagraph"/>
        <w:numPr>
          <w:ilvl w:val="0"/>
          <w:numId w:val="0"/>
        </w:numPr>
        <w:spacing w:after="0"/>
        <w:ind w:left="720"/>
        <w:rPr>
          <w:rFonts w:eastAsia="Calibri" w:cs="Arial"/>
          <w:color w:val="auto"/>
          <w:lang w:eastAsia="en-US"/>
        </w:rPr>
      </w:pPr>
      <w:r w:rsidRPr="00B0514C">
        <w:rPr>
          <w:rFonts w:eastAsia="Calibri" w:cs="Arial"/>
          <w:b/>
          <w:color w:val="auto"/>
          <w:lang w:eastAsia="en-US"/>
        </w:rPr>
        <w:t>N.B.</w:t>
      </w:r>
      <w:r w:rsidRPr="00B0514C">
        <w:rPr>
          <w:rFonts w:eastAsia="Calibri" w:cs="Arial"/>
          <w:color w:val="auto"/>
          <w:lang w:eastAsia="en-US"/>
        </w:rPr>
        <w:t xml:space="preserve"> Passported cases are those whose main income is a welfare benefit such as Jobseekers Allowance, Income Support or Employment &amp; Support Allowance. Such cases currently receive a 100% reduction on their Council Tax bill. Non-passported cases have another form of income, usually earnings f</w:t>
      </w:r>
      <w:r w:rsidR="00C42689" w:rsidRPr="00B0514C">
        <w:rPr>
          <w:rFonts w:eastAsia="Calibri" w:cs="Arial"/>
          <w:color w:val="auto"/>
          <w:lang w:eastAsia="en-US"/>
        </w:rPr>
        <w:t>r</w:t>
      </w:r>
      <w:r w:rsidRPr="00B0514C">
        <w:rPr>
          <w:rFonts w:eastAsia="Calibri" w:cs="Arial"/>
          <w:color w:val="auto"/>
          <w:lang w:eastAsia="en-US"/>
        </w:rPr>
        <w:t xml:space="preserve">om employment or self-employment. </w:t>
      </w:r>
    </w:p>
    <w:p w:rsidR="00B0514C" w:rsidRPr="00B0514C" w:rsidRDefault="00B0514C" w:rsidP="00B0514C">
      <w:pPr>
        <w:pStyle w:val="ListParagraph"/>
        <w:numPr>
          <w:ilvl w:val="0"/>
          <w:numId w:val="0"/>
        </w:numPr>
        <w:spacing w:after="0"/>
        <w:ind w:left="720"/>
        <w:rPr>
          <w:rFonts w:eastAsia="Calibri" w:cs="Arial"/>
          <w:color w:val="auto"/>
          <w:lang w:eastAsia="en-US"/>
        </w:rPr>
      </w:pPr>
    </w:p>
    <w:p w:rsidR="007D67C5" w:rsidRPr="00B0514C" w:rsidRDefault="00B0514C" w:rsidP="00B0514C">
      <w:pPr>
        <w:pStyle w:val="Heading1"/>
        <w:rPr>
          <w:rFonts w:eastAsia="Calibri"/>
          <w:lang w:eastAsia="en-US"/>
        </w:rPr>
      </w:pPr>
      <w:r w:rsidRPr="00B0514C">
        <w:rPr>
          <w:rFonts w:eastAsia="Calibri"/>
          <w:lang w:eastAsia="en-US"/>
        </w:rPr>
        <w:t>Introduction of Proposals</w:t>
      </w: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Broadly speaking the proposals </w:t>
      </w:r>
      <w:r w:rsidR="00821B07" w:rsidRPr="00B0514C">
        <w:rPr>
          <w:rFonts w:eastAsia="Calibri" w:cs="Arial"/>
          <w:color w:val="auto"/>
          <w:lang w:eastAsia="en-US"/>
        </w:rPr>
        <w:t>are</w:t>
      </w:r>
      <w:r w:rsidRPr="00B0514C">
        <w:rPr>
          <w:rFonts w:eastAsia="Calibri" w:cs="Arial"/>
          <w:color w:val="auto"/>
          <w:lang w:eastAsia="en-US"/>
        </w:rPr>
        <w:t>:</w:t>
      </w:r>
    </w:p>
    <w:p w:rsidR="00205584" w:rsidRPr="00B0514C" w:rsidRDefault="00821B07"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for </w:t>
      </w:r>
      <w:r w:rsidR="00205584" w:rsidRPr="00B0514C">
        <w:rPr>
          <w:rFonts w:eastAsia="Calibri" w:cs="Arial"/>
          <w:color w:val="auto"/>
          <w:lang w:eastAsia="en-US"/>
        </w:rPr>
        <w:t>a new CTR</w:t>
      </w:r>
      <w:r w:rsidRPr="00B0514C">
        <w:rPr>
          <w:rFonts w:eastAsia="Calibri" w:cs="Arial"/>
          <w:color w:val="auto"/>
          <w:lang w:eastAsia="en-US"/>
        </w:rPr>
        <w:t xml:space="preserve"> scheme</w:t>
      </w:r>
      <w:r w:rsidR="00205584" w:rsidRPr="00B0514C">
        <w:rPr>
          <w:rFonts w:eastAsia="Calibri" w:cs="Arial"/>
          <w:color w:val="auto"/>
          <w:lang w:eastAsia="en-US"/>
        </w:rPr>
        <w:t xml:space="preserve"> to be introduced for customers on Universal Credit, </w:t>
      </w:r>
    </w:p>
    <w:p w:rsidR="00205584" w:rsidRPr="00B0514C" w:rsidRDefault="00821B07" w:rsidP="00B0514C">
      <w:pPr>
        <w:pStyle w:val="ListParagraph"/>
        <w:numPr>
          <w:ilvl w:val="1"/>
          <w:numId w:val="34"/>
        </w:numPr>
        <w:spacing w:after="0"/>
        <w:ind w:left="1080"/>
        <w:rPr>
          <w:rFonts w:eastAsia="Calibri" w:cs="Arial"/>
          <w:color w:val="auto"/>
          <w:lang w:eastAsia="en-US"/>
        </w:rPr>
      </w:pPr>
      <w:proofErr w:type="gramStart"/>
      <w:r w:rsidRPr="00B0514C">
        <w:rPr>
          <w:rFonts w:eastAsia="Calibri" w:cs="Arial"/>
          <w:color w:val="auto"/>
          <w:lang w:eastAsia="en-US"/>
        </w:rPr>
        <w:t>to</w:t>
      </w:r>
      <w:proofErr w:type="gramEnd"/>
      <w:r w:rsidRPr="00B0514C">
        <w:rPr>
          <w:rFonts w:eastAsia="Calibri" w:cs="Arial"/>
          <w:color w:val="auto"/>
          <w:lang w:eastAsia="en-US"/>
        </w:rPr>
        <w:t xml:space="preserve"> </w:t>
      </w:r>
      <w:r w:rsidR="00B46EA2" w:rsidRPr="00B0514C">
        <w:rPr>
          <w:rFonts w:eastAsia="Calibri" w:cs="Arial"/>
          <w:color w:val="auto"/>
          <w:lang w:eastAsia="en-US"/>
        </w:rPr>
        <w:t xml:space="preserve">amend </w:t>
      </w:r>
      <w:r w:rsidR="00205584" w:rsidRPr="00B0514C">
        <w:rPr>
          <w:rFonts w:eastAsia="Calibri" w:cs="Arial"/>
          <w:color w:val="auto"/>
          <w:lang w:eastAsia="en-US"/>
        </w:rPr>
        <w:t>the existing CTRS for working age claimants not on Universal Credit to bring it in</w:t>
      </w:r>
      <w:r w:rsidR="00891B57" w:rsidRPr="00B0514C">
        <w:rPr>
          <w:rFonts w:eastAsia="Calibri" w:cs="Arial"/>
          <w:color w:val="auto"/>
          <w:lang w:eastAsia="en-US"/>
        </w:rPr>
        <w:t xml:space="preserve"> </w:t>
      </w:r>
      <w:r w:rsidR="00205584" w:rsidRPr="00B0514C">
        <w:rPr>
          <w:rFonts w:eastAsia="Calibri" w:cs="Arial"/>
          <w:color w:val="auto"/>
          <w:lang w:eastAsia="en-US"/>
        </w:rPr>
        <w:t>line with changes made to Housing Benefit since 2013. The</w:t>
      </w:r>
      <w:r w:rsidR="00891B57" w:rsidRPr="00B0514C">
        <w:rPr>
          <w:rFonts w:eastAsia="Calibri" w:cs="Arial"/>
          <w:color w:val="auto"/>
          <w:lang w:eastAsia="en-US"/>
        </w:rPr>
        <w:t>se</w:t>
      </w:r>
      <w:r w:rsidR="00205584" w:rsidRPr="00B0514C">
        <w:rPr>
          <w:rFonts w:eastAsia="Calibri" w:cs="Arial"/>
          <w:color w:val="auto"/>
          <w:lang w:eastAsia="en-US"/>
        </w:rPr>
        <w:t xml:space="preserve"> changes </w:t>
      </w:r>
      <w:r w:rsidR="00891B57" w:rsidRPr="00B0514C">
        <w:rPr>
          <w:rFonts w:eastAsia="Calibri" w:cs="Arial"/>
          <w:color w:val="auto"/>
          <w:lang w:eastAsia="en-US"/>
        </w:rPr>
        <w:t xml:space="preserve">will </w:t>
      </w:r>
      <w:r w:rsidR="00205584" w:rsidRPr="00B0514C">
        <w:rPr>
          <w:rFonts w:eastAsia="Calibri" w:cs="Arial"/>
          <w:color w:val="auto"/>
          <w:lang w:eastAsia="en-US"/>
        </w:rPr>
        <w:t>streamline the administration process in preparation for the roll out of U</w:t>
      </w:r>
      <w:r w:rsidRPr="00B0514C">
        <w:rPr>
          <w:rFonts w:eastAsia="Calibri" w:cs="Arial"/>
          <w:color w:val="auto"/>
          <w:lang w:eastAsia="en-US"/>
        </w:rPr>
        <w:t xml:space="preserve">niversal </w:t>
      </w:r>
      <w:r w:rsidR="00205584" w:rsidRPr="00B0514C">
        <w:rPr>
          <w:rFonts w:eastAsia="Calibri" w:cs="Arial"/>
          <w:color w:val="auto"/>
          <w:lang w:eastAsia="en-US"/>
        </w:rPr>
        <w:t>C</w:t>
      </w:r>
      <w:r w:rsidRPr="00B0514C">
        <w:rPr>
          <w:rFonts w:eastAsia="Calibri" w:cs="Arial"/>
          <w:color w:val="auto"/>
          <w:lang w:eastAsia="en-US"/>
        </w:rPr>
        <w:t>redit</w:t>
      </w:r>
      <w:r w:rsidR="00205584" w:rsidRPr="00B0514C">
        <w:rPr>
          <w:rFonts w:eastAsia="Calibri" w:cs="Arial"/>
          <w:color w:val="auto"/>
          <w:lang w:eastAsia="en-US"/>
        </w:rPr>
        <w:t xml:space="preserve"> from October</w:t>
      </w:r>
      <w:r w:rsidR="00891B57" w:rsidRPr="00B0514C">
        <w:rPr>
          <w:rFonts w:eastAsia="Calibri" w:cs="Arial"/>
          <w:color w:val="auto"/>
          <w:lang w:eastAsia="en-US"/>
        </w:rPr>
        <w:t xml:space="preserve"> 2017</w:t>
      </w:r>
      <w:r w:rsidR="00D838CD" w:rsidRPr="00B0514C">
        <w:rPr>
          <w:rFonts w:eastAsia="Calibri" w:cs="Arial"/>
          <w:color w:val="auto"/>
          <w:lang w:eastAsia="en-US"/>
        </w:rPr>
        <w:t>.</w:t>
      </w:r>
      <w:r w:rsidR="00205584" w:rsidRPr="00B0514C">
        <w:rPr>
          <w:rFonts w:eastAsia="Calibri" w:cs="Arial"/>
          <w:color w:val="auto"/>
          <w:lang w:eastAsia="en-US"/>
        </w:rPr>
        <w:t xml:space="preserve">  </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to  reduce the overall cost of support paid to claimants </w:t>
      </w:r>
    </w:p>
    <w:p w:rsidR="00205584" w:rsidRPr="00B0514C" w:rsidRDefault="00701DD9"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to highlight </w:t>
      </w:r>
      <w:r w:rsidR="00205584" w:rsidRPr="00B0514C">
        <w:rPr>
          <w:rFonts w:eastAsia="Calibri" w:cs="Arial"/>
          <w:color w:val="auto"/>
          <w:lang w:eastAsia="en-US"/>
        </w:rPr>
        <w:t>the imp</w:t>
      </w:r>
      <w:r w:rsidR="00D77C1A" w:rsidRPr="00B0514C">
        <w:rPr>
          <w:rFonts w:eastAsia="Calibri" w:cs="Arial"/>
          <w:color w:val="auto"/>
          <w:lang w:eastAsia="en-US"/>
        </w:rPr>
        <w:t xml:space="preserve">lications </w:t>
      </w:r>
      <w:r w:rsidR="00205584" w:rsidRPr="00B0514C">
        <w:rPr>
          <w:rFonts w:eastAsia="Calibri" w:cs="Arial"/>
          <w:color w:val="auto"/>
          <w:lang w:eastAsia="en-US"/>
        </w:rPr>
        <w:t xml:space="preserve">of making no change </w:t>
      </w:r>
      <w:r w:rsidR="00D77C1A" w:rsidRPr="00B0514C">
        <w:rPr>
          <w:rFonts w:eastAsia="Calibri" w:cs="Arial"/>
          <w:color w:val="auto"/>
          <w:lang w:eastAsia="en-US"/>
        </w:rPr>
        <w:t xml:space="preserve">as well as </w:t>
      </w:r>
      <w:r w:rsidR="00205584" w:rsidRPr="00B0514C">
        <w:rPr>
          <w:rFonts w:eastAsia="Calibri" w:cs="Arial"/>
          <w:color w:val="auto"/>
          <w:lang w:eastAsia="en-US"/>
        </w:rPr>
        <w:t>capping the cost of the scheme</w:t>
      </w:r>
    </w:p>
    <w:p w:rsidR="00205584" w:rsidRPr="00B0514C" w:rsidRDefault="00205584" w:rsidP="00B0514C">
      <w:pPr>
        <w:spacing w:after="0"/>
        <w:rPr>
          <w:rFonts w:eastAsia="Calibri" w:cs="Arial"/>
          <w:color w:val="auto"/>
          <w:lang w:eastAsia="en-US"/>
        </w:rPr>
      </w:pPr>
    </w:p>
    <w:p w:rsidR="009F4ADD" w:rsidRPr="00B0514C" w:rsidRDefault="00205584" w:rsidP="00B0514C">
      <w:pPr>
        <w:pStyle w:val="ListParagraph"/>
        <w:numPr>
          <w:ilvl w:val="0"/>
          <w:numId w:val="0"/>
        </w:numPr>
        <w:spacing w:after="0"/>
        <w:ind w:left="360"/>
        <w:rPr>
          <w:rFonts w:eastAsia="Calibri" w:cs="Arial"/>
          <w:color w:val="auto"/>
          <w:lang w:eastAsia="en-US"/>
        </w:rPr>
      </w:pPr>
      <w:r w:rsidRPr="00B0514C">
        <w:rPr>
          <w:rFonts w:eastAsia="Calibri" w:cs="Arial"/>
          <w:color w:val="auto"/>
          <w:lang w:eastAsia="en-US"/>
        </w:rPr>
        <w:t>The options</w:t>
      </w:r>
      <w:r w:rsidR="00A851FE" w:rsidRPr="00B0514C">
        <w:rPr>
          <w:rFonts w:eastAsia="Calibri" w:cs="Arial"/>
          <w:color w:val="auto"/>
          <w:lang w:eastAsia="en-US"/>
        </w:rPr>
        <w:t xml:space="preserve"> are</w:t>
      </w:r>
      <w:r w:rsidRPr="00B0514C">
        <w:rPr>
          <w:rFonts w:eastAsia="Calibri" w:cs="Arial"/>
          <w:color w:val="auto"/>
          <w:lang w:eastAsia="en-US"/>
        </w:rPr>
        <w:t xml:space="preserve"> listed in the table below</w:t>
      </w:r>
      <w:r w:rsidR="007A384C" w:rsidRPr="00B0514C">
        <w:rPr>
          <w:rFonts w:eastAsia="Calibri" w:cs="Arial"/>
          <w:color w:val="auto"/>
          <w:lang w:eastAsia="en-US"/>
        </w:rPr>
        <w:t xml:space="preserve"> and d</w:t>
      </w:r>
      <w:r w:rsidR="00015299" w:rsidRPr="00B0514C">
        <w:rPr>
          <w:rFonts w:eastAsia="Calibri" w:cs="Arial"/>
          <w:color w:val="auto"/>
          <w:lang w:eastAsia="en-US"/>
        </w:rPr>
        <w:t>etailed in Appendix One attached</w:t>
      </w:r>
      <w:r w:rsidR="007A384C" w:rsidRPr="00B0514C">
        <w:rPr>
          <w:rFonts w:eastAsia="Calibri" w:cs="Arial"/>
          <w:color w:val="auto"/>
          <w:lang w:eastAsia="en-US"/>
        </w:rPr>
        <w:t>.</w:t>
      </w:r>
      <w:r w:rsidRPr="00B0514C">
        <w:rPr>
          <w:rFonts w:eastAsia="Calibri" w:cs="Arial"/>
          <w:color w:val="auto"/>
          <w:lang w:eastAsia="en-US"/>
        </w:rPr>
        <w:t xml:space="preserve"> </w:t>
      </w:r>
      <w:r w:rsidR="009F4ADD" w:rsidRPr="00B0514C">
        <w:rPr>
          <w:rFonts w:eastAsia="Calibri" w:cs="Arial"/>
          <w:color w:val="auto"/>
          <w:lang w:eastAsia="en-US"/>
        </w:rPr>
        <w:t xml:space="preserve">Members are asked to agree which proposals if any should be submitted for public consultation.  The consultation will last for a period of eight weeks beginning on 19 July 2017. The proposed consultation document </w:t>
      </w:r>
      <w:r w:rsidR="007A384C" w:rsidRPr="00B0514C">
        <w:rPr>
          <w:rFonts w:eastAsia="Calibri" w:cs="Arial"/>
          <w:color w:val="auto"/>
          <w:lang w:eastAsia="en-US"/>
        </w:rPr>
        <w:t>is attached</w:t>
      </w:r>
      <w:r w:rsidR="009F4ADD" w:rsidRPr="00B0514C">
        <w:rPr>
          <w:rFonts w:eastAsia="Calibri" w:cs="Arial"/>
          <w:color w:val="auto"/>
          <w:lang w:eastAsia="en-US"/>
        </w:rPr>
        <w:t xml:space="preserve"> at Appendix Two.</w:t>
      </w:r>
    </w:p>
    <w:p w:rsidR="009F4ADD" w:rsidRPr="00B0514C" w:rsidRDefault="009F4ADD" w:rsidP="00B0514C">
      <w:pPr>
        <w:pStyle w:val="ListParagraph"/>
        <w:numPr>
          <w:ilvl w:val="0"/>
          <w:numId w:val="0"/>
        </w:numPr>
        <w:spacing w:after="0"/>
        <w:ind w:left="36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The cost and saving</w:t>
      </w:r>
      <w:r w:rsidR="001F4704" w:rsidRPr="00B0514C">
        <w:rPr>
          <w:rFonts w:eastAsia="Calibri" w:cs="Arial"/>
          <w:color w:val="auto"/>
          <w:lang w:eastAsia="en-US"/>
        </w:rPr>
        <w:t>s</w:t>
      </w:r>
      <w:r w:rsidRPr="00B0514C">
        <w:rPr>
          <w:rFonts w:eastAsia="Calibri" w:cs="Arial"/>
          <w:color w:val="auto"/>
          <w:lang w:eastAsia="en-US"/>
        </w:rPr>
        <w:t xml:space="preserve"> figures below relate to the cost </w:t>
      </w:r>
      <w:r w:rsidR="001F4704" w:rsidRPr="00B0514C">
        <w:rPr>
          <w:rFonts w:eastAsia="Calibri" w:cs="Arial"/>
          <w:color w:val="auto"/>
          <w:lang w:eastAsia="en-US"/>
        </w:rPr>
        <w:t xml:space="preserve">to the Council </w:t>
      </w:r>
      <w:r w:rsidRPr="00B0514C">
        <w:rPr>
          <w:rFonts w:eastAsia="Calibri" w:cs="Arial"/>
          <w:color w:val="auto"/>
          <w:lang w:eastAsia="en-US"/>
        </w:rPr>
        <w:t xml:space="preserve">of providing support. </w:t>
      </w:r>
      <w:r w:rsidR="001F43B3" w:rsidRPr="00B0514C">
        <w:rPr>
          <w:rFonts w:eastAsia="Calibri" w:cs="Arial"/>
          <w:color w:val="auto"/>
          <w:lang w:eastAsia="en-US"/>
        </w:rPr>
        <w:t>O</w:t>
      </w:r>
      <w:r w:rsidRPr="00B0514C">
        <w:rPr>
          <w:rFonts w:eastAsia="Calibri" w:cs="Arial"/>
          <w:color w:val="auto"/>
          <w:lang w:eastAsia="en-US"/>
        </w:rPr>
        <w:t xml:space="preserve">ptions 1 to 9 reflect a simplification of process which would lead to a greater efficiency in processing CTR claims. The net savings from the recommended options are £5,931. </w:t>
      </w:r>
      <w:r w:rsidR="0005249B" w:rsidRPr="00B0514C">
        <w:rPr>
          <w:rFonts w:eastAsia="Calibri" w:cs="Arial"/>
          <w:color w:val="auto"/>
          <w:lang w:eastAsia="en-US"/>
        </w:rPr>
        <w:t>T</w:t>
      </w:r>
      <w:r w:rsidRPr="00B0514C">
        <w:rPr>
          <w:rFonts w:eastAsia="Calibri" w:cs="Arial"/>
          <w:color w:val="auto"/>
          <w:lang w:eastAsia="en-US"/>
        </w:rPr>
        <w:t>he anticipated annual growth in cost of the scheme is £</w:t>
      </w:r>
      <w:r w:rsidR="004C31E5" w:rsidRPr="00B0514C">
        <w:rPr>
          <w:rFonts w:eastAsia="Calibri" w:cs="Arial"/>
          <w:color w:val="auto"/>
          <w:lang w:eastAsia="en-US"/>
        </w:rPr>
        <w:t xml:space="preserve">68,306. This is </w:t>
      </w:r>
      <w:r w:rsidRPr="00B0514C">
        <w:rPr>
          <w:rFonts w:eastAsia="Calibri" w:cs="Arial"/>
          <w:color w:val="auto"/>
          <w:lang w:eastAsia="en-US"/>
        </w:rPr>
        <w:t>based on Council Tax increasing by 4.</w:t>
      </w:r>
      <w:r w:rsidR="004C31E5" w:rsidRPr="00B0514C">
        <w:rPr>
          <w:rFonts w:eastAsia="Calibri" w:cs="Arial"/>
          <w:color w:val="auto"/>
          <w:lang w:eastAsia="en-US"/>
        </w:rPr>
        <w:t>2</w:t>
      </w:r>
      <w:r w:rsidRPr="00B0514C">
        <w:rPr>
          <w:rFonts w:eastAsia="Calibri" w:cs="Arial"/>
          <w:color w:val="auto"/>
          <w:lang w:eastAsia="en-US"/>
        </w:rPr>
        <w:t>%</w:t>
      </w:r>
      <w:r w:rsidR="004C31E5" w:rsidRPr="00B0514C">
        <w:rPr>
          <w:rFonts w:eastAsia="Calibri" w:cs="Arial"/>
          <w:color w:val="auto"/>
          <w:lang w:eastAsia="en-US"/>
        </w:rPr>
        <w:t xml:space="preserve"> which is the amount Council Tax bills increased by in unparished areas of Oxford this year</w:t>
      </w:r>
      <w:r w:rsidRPr="00B0514C">
        <w:rPr>
          <w:rFonts w:eastAsia="Calibri" w:cs="Arial"/>
          <w:color w:val="auto"/>
          <w:lang w:eastAsia="en-US"/>
        </w:rPr>
        <w:t>.</w:t>
      </w:r>
    </w:p>
    <w:p w:rsidR="00205584" w:rsidRPr="00B0514C" w:rsidRDefault="00205584" w:rsidP="00205584">
      <w:pPr>
        <w:spacing w:after="0"/>
        <w:rPr>
          <w:rFonts w:eastAsia="Calibri" w:cs="Arial"/>
          <w:color w:val="auto"/>
          <w:lang w:eastAsia="en-US"/>
        </w:rPr>
      </w:pPr>
    </w:p>
    <w:tbl>
      <w:tblPr>
        <w:tblStyle w:val="TableGrid1"/>
        <w:tblW w:w="0" w:type="auto"/>
        <w:tblLook w:val="04A0" w:firstRow="1" w:lastRow="0" w:firstColumn="1" w:lastColumn="0" w:noHBand="0" w:noVBand="1"/>
      </w:tblPr>
      <w:tblGrid>
        <w:gridCol w:w="1526"/>
        <w:gridCol w:w="6088"/>
        <w:gridCol w:w="1900"/>
      </w:tblGrid>
      <w:tr w:rsidR="00205584" w:rsidRPr="00B0514C" w:rsidTr="00B0514C">
        <w:tc>
          <w:tcPr>
            <w:tcW w:w="1526" w:type="dxa"/>
          </w:tcPr>
          <w:p w:rsidR="00205584" w:rsidRPr="00B0514C" w:rsidRDefault="00B0514C" w:rsidP="00B0514C">
            <w:pPr>
              <w:pStyle w:val="ListParagraph"/>
              <w:numPr>
                <w:ilvl w:val="0"/>
                <w:numId w:val="0"/>
              </w:numPr>
              <w:tabs>
                <w:tab w:val="clear" w:pos="426"/>
              </w:tabs>
              <w:spacing w:after="0"/>
              <w:rPr>
                <w:b/>
                <w:color w:val="auto"/>
              </w:rPr>
            </w:pPr>
            <w:r>
              <w:rPr>
                <w:b/>
                <w:color w:val="auto"/>
              </w:rPr>
              <w:t xml:space="preserve">Option </w:t>
            </w:r>
            <w:r w:rsidR="00205584" w:rsidRPr="00B0514C">
              <w:rPr>
                <w:b/>
                <w:color w:val="auto"/>
              </w:rPr>
              <w:t>No.</w:t>
            </w:r>
          </w:p>
        </w:tc>
        <w:tc>
          <w:tcPr>
            <w:tcW w:w="6088" w:type="dxa"/>
          </w:tcPr>
          <w:p w:rsidR="00205584" w:rsidRPr="00B0514C" w:rsidRDefault="00205584" w:rsidP="007D67C5">
            <w:pPr>
              <w:pStyle w:val="ListParagraph"/>
              <w:numPr>
                <w:ilvl w:val="0"/>
                <w:numId w:val="0"/>
              </w:numPr>
              <w:spacing w:after="0"/>
              <w:ind w:left="720"/>
              <w:rPr>
                <w:b/>
                <w:color w:val="auto"/>
              </w:rPr>
            </w:pPr>
            <w:r w:rsidRPr="00B0514C">
              <w:rPr>
                <w:b/>
                <w:color w:val="auto"/>
              </w:rPr>
              <w:t>Description of change</w:t>
            </w:r>
          </w:p>
        </w:tc>
        <w:tc>
          <w:tcPr>
            <w:tcW w:w="1900" w:type="dxa"/>
          </w:tcPr>
          <w:p w:rsidR="00205584" w:rsidRPr="00B0514C" w:rsidRDefault="00205584" w:rsidP="007D67C5">
            <w:pPr>
              <w:spacing w:after="0"/>
              <w:ind w:left="426" w:hanging="426"/>
              <w:rPr>
                <w:b/>
                <w:color w:val="auto"/>
              </w:rPr>
            </w:pPr>
            <w:r w:rsidRPr="00B0514C">
              <w:rPr>
                <w:b/>
                <w:color w:val="auto"/>
              </w:rPr>
              <w:t>Cost/Saving in £’s</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w:t>
            </w:r>
          </w:p>
        </w:tc>
        <w:tc>
          <w:tcPr>
            <w:tcW w:w="6088" w:type="dxa"/>
          </w:tcPr>
          <w:p w:rsidR="00205584" w:rsidRPr="00B0514C" w:rsidRDefault="00205584" w:rsidP="00C4251B">
            <w:pPr>
              <w:spacing w:after="0"/>
              <w:rPr>
                <w:color w:val="auto"/>
              </w:rPr>
            </w:pPr>
            <w:r w:rsidRPr="00B0514C">
              <w:rPr>
                <w:color w:val="auto"/>
              </w:rPr>
              <w:t>Create an income band scheme for Universal Credit  customers</w:t>
            </w:r>
          </w:p>
        </w:tc>
        <w:tc>
          <w:tcPr>
            <w:tcW w:w="1900" w:type="dxa"/>
          </w:tcPr>
          <w:p w:rsidR="00205584" w:rsidRPr="00B0514C" w:rsidRDefault="00205584" w:rsidP="00C4251B">
            <w:pPr>
              <w:spacing w:after="0"/>
              <w:ind w:left="426" w:hanging="426"/>
              <w:jc w:val="right"/>
              <w:rPr>
                <w:color w:val="auto"/>
              </w:rPr>
            </w:pPr>
            <w:r w:rsidRPr="00B0514C">
              <w:rPr>
                <w:color w:val="auto"/>
              </w:rPr>
              <w:t>£33,535</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2</w:t>
            </w:r>
          </w:p>
        </w:tc>
        <w:tc>
          <w:tcPr>
            <w:tcW w:w="6088" w:type="dxa"/>
          </w:tcPr>
          <w:p w:rsidR="00205584" w:rsidRPr="00B0514C" w:rsidRDefault="00205584" w:rsidP="0005249B">
            <w:pPr>
              <w:spacing w:after="0"/>
              <w:ind w:left="426" w:hanging="426"/>
              <w:rPr>
                <w:color w:val="auto"/>
              </w:rPr>
            </w:pPr>
            <w:r w:rsidRPr="00B0514C">
              <w:rPr>
                <w:color w:val="auto"/>
              </w:rPr>
              <w:t>Restrict support to the level for a Band D property</w:t>
            </w:r>
          </w:p>
        </w:tc>
        <w:tc>
          <w:tcPr>
            <w:tcW w:w="1900" w:type="dxa"/>
          </w:tcPr>
          <w:p w:rsidR="00205584" w:rsidRPr="00B0514C" w:rsidRDefault="00205584" w:rsidP="00C4251B">
            <w:pPr>
              <w:spacing w:after="0"/>
              <w:ind w:left="426" w:hanging="426"/>
              <w:jc w:val="right"/>
              <w:rPr>
                <w:color w:val="auto"/>
              </w:rPr>
            </w:pPr>
            <w:r w:rsidRPr="00B0514C">
              <w:rPr>
                <w:color w:val="auto"/>
              </w:rPr>
              <w:t>-£14,129</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3</w:t>
            </w:r>
          </w:p>
        </w:tc>
        <w:tc>
          <w:tcPr>
            <w:tcW w:w="6088" w:type="dxa"/>
          </w:tcPr>
          <w:p w:rsidR="00205584" w:rsidRPr="00B0514C" w:rsidRDefault="00205584" w:rsidP="0005249B">
            <w:pPr>
              <w:spacing w:after="0"/>
              <w:ind w:left="426" w:hanging="426"/>
              <w:rPr>
                <w:color w:val="auto"/>
              </w:rPr>
            </w:pPr>
            <w:r w:rsidRPr="00B0514C">
              <w:rPr>
                <w:color w:val="auto"/>
              </w:rPr>
              <w:t>Remove second adult reduction provision</w:t>
            </w:r>
          </w:p>
        </w:tc>
        <w:tc>
          <w:tcPr>
            <w:tcW w:w="1900" w:type="dxa"/>
          </w:tcPr>
          <w:p w:rsidR="00205584" w:rsidRPr="00B0514C" w:rsidRDefault="00205584" w:rsidP="00C4251B">
            <w:pPr>
              <w:spacing w:after="0"/>
              <w:ind w:left="426" w:hanging="426"/>
              <w:jc w:val="right"/>
              <w:rPr>
                <w:color w:val="auto"/>
              </w:rPr>
            </w:pPr>
            <w:r w:rsidRPr="00B0514C">
              <w:rPr>
                <w:color w:val="auto"/>
              </w:rPr>
              <w:t>-£8,370</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4</w:t>
            </w:r>
          </w:p>
        </w:tc>
        <w:tc>
          <w:tcPr>
            <w:tcW w:w="6088" w:type="dxa"/>
          </w:tcPr>
          <w:p w:rsidR="00205584" w:rsidRPr="00B0514C" w:rsidRDefault="00205584" w:rsidP="0005249B">
            <w:pPr>
              <w:spacing w:after="0"/>
              <w:ind w:left="426" w:hanging="426"/>
              <w:rPr>
                <w:color w:val="auto"/>
              </w:rPr>
            </w:pPr>
            <w:r w:rsidRPr="00B0514C">
              <w:rPr>
                <w:color w:val="auto"/>
              </w:rPr>
              <w:t>Reduce capital limit from £16,000 to £6,000</w:t>
            </w:r>
          </w:p>
        </w:tc>
        <w:tc>
          <w:tcPr>
            <w:tcW w:w="1900" w:type="dxa"/>
          </w:tcPr>
          <w:p w:rsidR="00205584" w:rsidRPr="00B0514C" w:rsidRDefault="00205584" w:rsidP="00C4251B">
            <w:pPr>
              <w:spacing w:after="0"/>
              <w:ind w:left="426" w:hanging="426"/>
              <w:jc w:val="right"/>
              <w:rPr>
                <w:color w:val="auto"/>
              </w:rPr>
            </w:pPr>
            <w:r w:rsidRPr="00B0514C">
              <w:rPr>
                <w:color w:val="auto"/>
              </w:rPr>
              <w:t>-£9,236</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5</w:t>
            </w:r>
          </w:p>
        </w:tc>
        <w:tc>
          <w:tcPr>
            <w:tcW w:w="6088" w:type="dxa"/>
          </w:tcPr>
          <w:p w:rsidR="00205584" w:rsidRPr="00B0514C" w:rsidRDefault="00205584" w:rsidP="0005249B">
            <w:pPr>
              <w:spacing w:after="0"/>
              <w:ind w:left="426" w:hanging="426"/>
              <w:rPr>
                <w:color w:val="auto"/>
              </w:rPr>
            </w:pPr>
            <w:r w:rsidRPr="00B0514C">
              <w:rPr>
                <w:color w:val="auto"/>
              </w:rPr>
              <w:t>Limit backdating to one month</w:t>
            </w:r>
          </w:p>
        </w:tc>
        <w:tc>
          <w:tcPr>
            <w:tcW w:w="1900" w:type="dxa"/>
          </w:tcPr>
          <w:p w:rsidR="00205584" w:rsidRPr="00B0514C" w:rsidRDefault="00205584" w:rsidP="00C4251B">
            <w:pPr>
              <w:spacing w:after="0"/>
              <w:ind w:left="426" w:hanging="426"/>
              <w:jc w:val="right"/>
              <w:rPr>
                <w:color w:val="auto"/>
              </w:rPr>
            </w:pPr>
            <w:r w:rsidRPr="00B0514C">
              <w:rPr>
                <w:color w:val="auto"/>
              </w:rPr>
              <w:t>-£3,896</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6</w:t>
            </w:r>
          </w:p>
        </w:tc>
        <w:tc>
          <w:tcPr>
            <w:tcW w:w="6088" w:type="dxa"/>
          </w:tcPr>
          <w:p w:rsidR="00205584" w:rsidRPr="00B0514C" w:rsidRDefault="00205584" w:rsidP="0005249B">
            <w:pPr>
              <w:spacing w:after="0"/>
              <w:ind w:left="426" w:hanging="426"/>
              <w:rPr>
                <w:color w:val="auto"/>
              </w:rPr>
            </w:pPr>
            <w:r w:rsidRPr="00B0514C">
              <w:rPr>
                <w:color w:val="auto"/>
              </w:rPr>
              <w:t xml:space="preserve">Introduce a minimum income floor for self-employed </w:t>
            </w:r>
            <w:r w:rsidRPr="00B0514C">
              <w:rPr>
                <w:color w:val="auto"/>
              </w:rPr>
              <w:lastRenderedPageBreak/>
              <w:t>claims</w:t>
            </w:r>
          </w:p>
        </w:tc>
        <w:tc>
          <w:tcPr>
            <w:tcW w:w="1900" w:type="dxa"/>
          </w:tcPr>
          <w:p w:rsidR="00205584" w:rsidRPr="00B0514C" w:rsidRDefault="00205584" w:rsidP="00C4251B">
            <w:pPr>
              <w:spacing w:after="0"/>
              <w:ind w:left="426" w:hanging="426"/>
              <w:jc w:val="right"/>
              <w:rPr>
                <w:color w:val="auto"/>
              </w:rPr>
            </w:pPr>
            <w:r w:rsidRPr="00B0514C">
              <w:rPr>
                <w:color w:val="auto"/>
              </w:rPr>
              <w:lastRenderedPageBreak/>
              <w:t>£0</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lastRenderedPageBreak/>
              <w:t>7</w:t>
            </w:r>
          </w:p>
        </w:tc>
        <w:tc>
          <w:tcPr>
            <w:tcW w:w="6088" w:type="dxa"/>
          </w:tcPr>
          <w:p w:rsidR="00205584" w:rsidRPr="00B0514C" w:rsidRDefault="00205584" w:rsidP="0005249B">
            <w:pPr>
              <w:spacing w:after="0"/>
              <w:ind w:left="426" w:hanging="426"/>
              <w:rPr>
                <w:color w:val="auto"/>
              </w:rPr>
            </w:pPr>
            <w:r w:rsidRPr="00B0514C">
              <w:rPr>
                <w:color w:val="auto"/>
              </w:rPr>
              <w:t>Reduce period where someone can claim whilst abroad</w:t>
            </w:r>
          </w:p>
        </w:tc>
        <w:tc>
          <w:tcPr>
            <w:tcW w:w="1900" w:type="dxa"/>
          </w:tcPr>
          <w:p w:rsidR="00205584" w:rsidRPr="00B0514C" w:rsidRDefault="00205584" w:rsidP="00C4251B">
            <w:pPr>
              <w:spacing w:after="0"/>
              <w:ind w:left="426" w:hanging="426"/>
              <w:jc w:val="right"/>
              <w:rPr>
                <w:color w:val="auto"/>
              </w:rPr>
            </w:pPr>
            <w:r w:rsidRPr="00B0514C">
              <w:rPr>
                <w:color w:val="auto"/>
              </w:rPr>
              <w:t>£0</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8</w:t>
            </w:r>
          </w:p>
        </w:tc>
        <w:tc>
          <w:tcPr>
            <w:tcW w:w="6088" w:type="dxa"/>
          </w:tcPr>
          <w:p w:rsidR="00205584" w:rsidRPr="00B0514C" w:rsidRDefault="00205584" w:rsidP="0005249B">
            <w:pPr>
              <w:spacing w:after="0"/>
              <w:rPr>
                <w:color w:val="auto"/>
              </w:rPr>
            </w:pPr>
            <w:r w:rsidRPr="00B0514C">
              <w:rPr>
                <w:color w:val="auto"/>
              </w:rPr>
              <w:t>Limit number of dependent children within the CTR calculation to two</w:t>
            </w:r>
          </w:p>
        </w:tc>
        <w:tc>
          <w:tcPr>
            <w:tcW w:w="1900" w:type="dxa"/>
          </w:tcPr>
          <w:p w:rsidR="00205584" w:rsidRPr="00B0514C" w:rsidRDefault="00205584" w:rsidP="00C4251B">
            <w:pPr>
              <w:spacing w:after="0"/>
              <w:ind w:left="426" w:hanging="426"/>
              <w:jc w:val="right"/>
              <w:rPr>
                <w:color w:val="auto"/>
              </w:rPr>
            </w:pPr>
            <w:r w:rsidRPr="00B0514C">
              <w:rPr>
                <w:color w:val="auto"/>
              </w:rPr>
              <w:t>-£2,327</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9</w:t>
            </w:r>
          </w:p>
        </w:tc>
        <w:tc>
          <w:tcPr>
            <w:tcW w:w="6088" w:type="dxa"/>
          </w:tcPr>
          <w:p w:rsidR="00205584" w:rsidRPr="00B0514C" w:rsidRDefault="00205584" w:rsidP="0005249B">
            <w:pPr>
              <w:spacing w:after="0"/>
              <w:ind w:left="426" w:hanging="426"/>
              <w:rPr>
                <w:color w:val="auto"/>
              </w:rPr>
            </w:pPr>
            <w:r w:rsidRPr="00B0514C">
              <w:rPr>
                <w:color w:val="auto"/>
              </w:rPr>
              <w:t>Remove family premium</w:t>
            </w:r>
          </w:p>
        </w:tc>
        <w:tc>
          <w:tcPr>
            <w:tcW w:w="1900" w:type="dxa"/>
          </w:tcPr>
          <w:p w:rsidR="00205584" w:rsidRPr="00B0514C" w:rsidRDefault="00205584" w:rsidP="00C4251B">
            <w:pPr>
              <w:spacing w:after="0"/>
              <w:jc w:val="right"/>
              <w:rPr>
                <w:color w:val="auto"/>
              </w:rPr>
            </w:pPr>
            <w:r w:rsidRPr="00B0514C">
              <w:rPr>
                <w:color w:val="auto"/>
              </w:rPr>
              <w:t>-1,508</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10</w:t>
            </w:r>
          </w:p>
        </w:tc>
        <w:tc>
          <w:tcPr>
            <w:tcW w:w="6088" w:type="dxa"/>
          </w:tcPr>
          <w:p w:rsidR="00205584" w:rsidRPr="00B0514C" w:rsidRDefault="00205584" w:rsidP="0005249B">
            <w:pPr>
              <w:spacing w:after="0"/>
              <w:ind w:left="426" w:hanging="426"/>
              <w:rPr>
                <w:color w:val="auto"/>
              </w:rPr>
            </w:pPr>
            <w:r w:rsidRPr="00B0514C">
              <w:rPr>
                <w:color w:val="auto"/>
              </w:rPr>
              <w:t>Introduce a minimum charge of 30%</w:t>
            </w:r>
          </w:p>
        </w:tc>
        <w:tc>
          <w:tcPr>
            <w:tcW w:w="1900" w:type="dxa"/>
          </w:tcPr>
          <w:p w:rsidR="00205584" w:rsidRPr="00B0514C" w:rsidRDefault="00205584" w:rsidP="00C4251B">
            <w:pPr>
              <w:spacing w:after="0"/>
              <w:ind w:left="426" w:hanging="426"/>
              <w:jc w:val="right"/>
              <w:rPr>
                <w:color w:val="auto"/>
              </w:rPr>
            </w:pPr>
            <w:r w:rsidRPr="00B0514C">
              <w:rPr>
                <w:color w:val="auto"/>
              </w:rPr>
              <w:t>-£370,831</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11</w:t>
            </w:r>
          </w:p>
        </w:tc>
        <w:tc>
          <w:tcPr>
            <w:tcW w:w="6088" w:type="dxa"/>
          </w:tcPr>
          <w:p w:rsidR="00205584" w:rsidRPr="00B0514C" w:rsidRDefault="00205584" w:rsidP="0005249B">
            <w:pPr>
              <w:spacing w:after="0"/>
              <w:ind w:left="426" w:hanging="426"/>
              <w:rPr>
                <w:color w:val="auto"/>
              </w:rPr>
            </w:pPr>
            <w:r w:rsidRPr="00B0514C">
              <w:rPr>
                <w:color w:val="auto"/>
              </w:rPr>
              <w:t>Cap the cost of scheme to the current level</w:t>
            </w:r>
          </w:p>
        </w:tc>
        <w:tc>
          <w:tcPr>
            <w:tcW w:w="1900" w:type="dxa"/>
          </w:tcPr>
          <w:p w:rsidR="00205584" w:rsidRPr="00B0514C" w:rsidRDefault="00205584" w:rsidP="00C4251B">
            <w:pPr>
              <w:spacing w:after="0"/>
              <w:ind w:left="426" w:hanging="426"/>
              <w:jc w:val="right"/>
              <w:rPr>
                <w:color w:val="auto"/>
              </w:rPr>
            </w:pPr>
            <w:r w:rsidRPr="00B0514C">
              <w:rPr>
                <w:color w:val="auto"/>
              </w:rPr>
              <w:t>-£73,184</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12</w:t>
            </w:r>
          </w:p>
        </w:tc>
        <w:tc>
          <w:tcPr>
            <w:tcW w:w="6088" w:type="dxa"/>
          </w:tcPr>
          <w:p w:rsidR="00205584" w:rsidRPr="00B0514C" w:rsidRDefault="00205584" w:rsidP="0005249B">
            <w:pPr>
              <w:spacing w:after="0"/>
              <w:ind w:left="426" w:hanging="426"/>
              <w:rPr>
                <w:color w:val="auto"/>
              </w:rPr>
            </w:pPr>
            <w:r w:rsidRPr="00B0514C">
              <w:rPr>
                <w:color w:val="auto"/>
              </w:rPr>
              <w:t>Do nothing</w:t>
            </w:r>
          </w:p>
        </w:tc>
        <w:tc>
          <w:tcPr>
            <w:tcW w:w="1900" w:type="dxa"/>
          </w:tcPr>
          <w:p w:rsidR="00205584" w:rsidRPr="00B0514C" w:rsidRDefault="00205584" w:rsidP="00C4251B">
            <w:pPr>
              <w:spacing w:after="0"/>
              <w:ind w:left="426" w:hanging="426"/>
              <w:jc w:val="right"/>
              <w:rPr>
                <w:color w:val="auto"/>
              </w:rPr>
            </w:pPr>
            <w:r w:rsidRPr="00B0514C">
              <w:rPr>
                <w:color w:val="auto"/>
              </w:rPr>
              <w:t>£0</w:t>
            </w:r>
          </w:p>
        </w:tc>
      </w:tr>
    </w:tbl>
    <w:p w:rsidR="00205584" w:rsidRPr="00B0514C" w:rsidRDefault="00205584" w:rsidP="00205584">
      <w:pPr>
        <w:spacing w:after="0"/>
        <w:rPr>
          <w:rFonts w:eastAsia="Calibri" w:cs="Arial"/>
          <w:color w:val="auto"/>
          <w:lang w:eastAsia="en-US"/>
        </w:rPr>
      </w:pPr>
    </w:p>
    <w:p w:rsidR="00205584" w:rsidRPr="00B0514C" w:rsidRDefault="00205584" w:rsidP="00205584">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Efficiency savings could be achieved from the banded scheme </w:t>
      </w:r>
      <w:r w:rsidR="00517719" w:rsidRPr="00B0514C">
        <w:rPr>
          <w:rFonts w:eastAsia="Calibri" w:cs="Arial"/>
          <w:color w:val="auto"/>
          <w:lang w:eastAsia="en-US"/>
        </w:rPr>
        <w:t xml:space="preserve">(option 1) </w:t>
      </w:r>
      <w:r w:rsidRPr="00B0514C">
        <w:rPr>
          <w:rFonts w:eastAsia="Calibri" w:cs="Arial"/>
          <w:color w:val="auto"/>
          <w:lang w:eastAsia="en-US"/>
        </w:rPr>
        <w:t xml:space="preserve">when Universal Credit </w:t>
      </w:r>
      <w:r w:rsidR="00FE2880" w:rsidRPr="00B0514C">
        <w:rPr>
          <w:rFonts w:eastAsia="Calibri" w:cs="Arial"/>
          <w:color w:val="auto"/>
          <w:lang w:eastAsia="en-US"/>
        </w:rPr>
        <w:t>is</w:t>
      </w:r>
      <w:r w:rsidRPr="00B0514C">
        <w:rPr>
          <w:rFonts w:eastAsia="Calibri" w:cs="Arial"/>
          <w:color w:val="auto"/>
          <w:lang w:eastAsia="en-US"/>
        </w:rPr>
        <w:t xml:space="preserve"> more fully rolled out. These would be based on a simpler assessment process, a reduction in the number of changes to Council Tax bills, and less customer contact as a result. The parameters of </w:t>
      </w:r>
      <w:r w:rsidR="00FE2880" w:rsidRPr="00B0514C">
        <w:rPr>
          <w:rFonts w:eastAsia="Calibri" w:cs="Arial"/>
          <w:color w:val="auto"/>
          <w:lang w:eastAsia="en-US"/>
        </w:rPr>
        <w:t>a</w:t>
      </w:r>
      <w:r w:rsidRPr="00B0514C">
        <w:rPr>
          <w:rFonts w:eastAsia="Calibri" w:cs="Arial"/>
          <w:color w:val="auto"/>
          <w:lang w:eastAsia="en-US"/>
        </w:rPr>
        <w:t xml:space="preserve"> banded scheme c</w:t>
      </w:r>
      <w:r w:rsidR="00445803" w:rsidRPr="00B0514C">
        <w:rPr>
          <w:rFonts w:eastAsia="Calibri" w:cs="Arial"/>
          <w:color w:val="auto"/>
          <w:lang w:eastAsia="en-US"/>
        </w:rPr>
        <w:t>ould</w:t>
      </w:r>
      <w:r w:rsidRPr="00B0514C">
        <w:rPr>
          <w:rFonts w:eastAsia="Calibri" w:cs="Arial"/>
          <w:color w:val="auto"/>
          <w:lang w:eastAsia="en-US"/>
        </w:rPr>
        <w:t xml:space="preserve"> </w:t>
      </w:r>
      <w:r w:rsidR="00FE2880" w:rsidRPr="00B0514C">
        <w:rPr>
          <w:rFonts w:eastAsia="Calibri" w:cs="Arial"/>
          <w:color w:val="auto"/>
          <w:lang w:eastAsia="en-US"/>
        </w:rPr>
        <w:t xml:space="preserve">subsequently </w:t>
      </w:r>
      <w:r w:rsidRPr="00B0514C">
        <w:rPr>
          <w:rFonts w:eastAsia="Calibri" w:cs="Arial"/>
          <w:color w:val="auto"/>
          <w:lang w:eastAsia="en-US"/>
        </w:rPr>
        <w:t xml:space="preserve">be amended to deliver further savings, or increase the amount of support provided. </w:t>
      </w:r>
      <w:r w:rsidR="007E5F84" w:rsidRPr="00B0514C">
        <w:rPr>
          <w:rFonts w:eastAsia="Calibri" w:cs="Arial"/>
          <w:color w:val="auto"/>
          <w:lang w:eastAsia="en-US"/>
        </w:rPr>
        <w:t>However,</w:t>
      </w:r>
      <w:r w:rsidR="00685D85" w:rsidRPr="00B0514C">
        <w:rPr>
          <w:rFonts w:eastAsia="Calibri" w:cs="Arial"/>
          <w:color w:val="auto"/>
          <w:lang w:eastAsia="en-US"/>
        </w:rPr>
        <w:t xml:space="preserve"> </w:t>
      </w:r>
      <w:r w:rsidRPr="00B0514C">
        <w:rPr>
          <w:rFonts w:eastAsia="Calibri" w:cs="Arial"/>
          <w:color w:val="auto"/>
          <w:lang w:eastAsia="en-US"/>
        </w:rPr>
        <w:t xml:space="preserve">savings would need to be considered in the context of </w:t>
      </w:r>
      <w:r w:rsidR="00685D85" w:rsidRPr="00B0514C">
        <w:rPr>
          <w:rFonts w:eastAsia="Calibri" w:cs="Arial"/>
          <w:color w:val="auto"/>
          <w:lang w:eastAsia="en-US"/>
        </w:rPr>
        <w:t>potential</w:t>
      </w:r>
      <w:r w:rsidRPr="00B0514C">
        <w:rPr>
          <w:rFonts w:eastAsia="Calibri" w:cs="Arial"/>
          <w:color w:val="auto"/>
          <w:lang w:eastAsia="en-US"/>
        </w:rPr>
        <w:t xml:space="preserve"> additional </w:t>
      </w:r>
      <w:r w:rsidR="00685D85" w:rsidRPr="00B0514C">
        <w:rPr>
          <w:rFonts w:eastAsia="Calibri" w:cs="Arial"/>
          <w:color w:val="auto"/>
          <w:lang w:eastAsia="en-US"/>
        </w:rPr>
        <w:t>pressures</w:t>
      </w:r>
      <w:r w:rsidRPr="00B0514C">
        <w:rPr>
          <w:rFonts w:eastAsia="Calibri" w:cs="Arial"/>
          <w:color w:val="auto"/>
          <w:lang w:eastAsia="en-US"/>
        </w:rPr>
        <w:t xml:space="preserve"> resulting from the wider </w:t>
      </w:r>
      <w:r w:rsidR="00685D85" w:rsidRPr="00B0514C">
        <w:rPr>
          <w:rFonts w:eastAsia="Calibri" w:cs="Arial"/>
          <w:color w:val="auto"/>
          <w:lang w:eastAsia="en-US"/>
        </w:rPr>
        <w:t xml:space="preserve">rollout </w:t>
      </w:r>
      <w:r w:rsidRPr="00B0514C">
        <w:rPr>
          <w:rFonts w:eastAsia="Calibri" w:cs="Arial"/>
          <w:color w:val="auto"/>
          <w:lang w:eastAsia="en-US"/>
        </w:rPr>
        <w:t>of Universal Credit.</w:t>
      </w:r>
    </w:p>
    <w:p w:rsidR="00205584" w:rsidRPr="00B0514C" w:rsidRDefault="00205584" w:rsidP="00B0514C">
      <w:pPr>
        <w:spacing w:after="0"/>
        <w:rPr>
          <w:rFonts w:eastAsia="Calibri" w:cs="Arial"/>
          <w:color w:val="auto"/>
          <w:lang w:eastAsia="en-US"/>
        </w:rPr>
      </w:pPr>
    </w:p>
    <w:p w:rsidR="001F4704" w:rsidRPr="00B0514C" w:rsidRDefault="00205584" w:rsidP="00205584">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Council Tax regulations make provision for discretionary support to be made available on </w:t>
      </w:r>
      <w:r w:rsidR="00701DD9" w:rsidRPr="00B0514C">
        <w:rPr>
          <w:rFonts w:eastAsia="Calibri" w:cs="Arial"/>
          <w:color w:val="auto"/>
          <w:lang w:eastAsia="en-US"/>
        </w:rPr>
        <w:t xml:space="preserve">the </w:t>
      </w:r>
      <w:r w:rsidRPr="00B0514C">
        <w:rPr>
          <w:rFonts w:eastAsia="Calibri" w:cs="Arial"/>
          <w:color w:val="auto"/>
          <w:lang w:eastAsia="en-US"/>
        </w:rPr>
        <w:t xml:space="preserve">application </w:t>
      </w:r>
      <w:r w:rsidR="00685D85" w:rsidRPr="00B0514C">
        <w:rPr>
          <w:rFonts w:eastAsia="Calibri" w:cs="Arial"/>
          <w:color w:val="auto"/>
          <w:lang w:eastAsia="en-US"/>
        </w:rPr>
        <w:t>by</w:t>
      </w:r>
      <w:r w:rsidRPr="00B0514C">
        <w:rPr>
          <w:rFonts w:eastAsia="Calibri" w:cs="Arial"/>
          <w:color w:val="auto"/>
          <w:lang w:eastAsia="en-US"/>
        </w:rPr>
        <w:t xml:space="preserve"> a customer who is facing difficulty paying their Council Tax. </w:t>
      </w:r>
      <w:r w:rsidR="004C31E5" w:rsidRPr="00B0514C">
        <w:rPr>
          <w:rFonts w:eastAsia="Calibri" w:cs="Arial"/>
          <w:color w:val="auto"/>
          <w:lang w:eastAsia="en-US"/>
        </w:rPr>
        <w:t xml:space="preserve">Currently no budget is provided for making such discretionary payments. However if changes to the CTR scheme resulted in a reduction in support for individuals, then it </w:t>
      </w:r>
      <w:r w:rsidR="007E5F84" w:rsidRPr="00B0514C">
        <w:rPr>
          <w:rFonts w:eastAsia="Calibri" w:cs="Arial"/>
          <w:color w:val="auto"/>
          <w:lang w:eastAsia="en-US"/>
        </w:rPr>
        <w:t xml:space="preserve">may </w:t>
      </w:r>
      <w:r w:rsidR="004C31E5" w:rsidRPr="00B0514C">
        <w:rPr>
          <w:rFonts w:eastAsia="Calibri" w:cs="Arial"/>
          <w:color w:val="auto"/>
          <w:lang w:eastAsia="en-US"/>
        </w:rPr>
        <w:t>be prudent to make a small budgetary provision to enable discretionary support to be provided in exceptional cases.</w:t>
      </w:r>
      <w:r w:rsidR="00015299" w:rsidRPr="00B0514C">
        <w:rPr>
          <w:rFonts w:eastAsia="Calibri" w:cs="Arial"/>
          <w:color w:val="auto"/>
          <w:lang w:eastAsia="en-US"/>
        </w:rPr>
        <w:t xml:space="preserve"> </w:t>
      </w:r>
      <w:r w:rsidR="00BF3BA1" w:rsidRPr="00B0514C">
        <w:rPr>
          <w:rFonts w:eastAsia="Calibri" w:cs="Arial"/>
          <w:color w:val="auto"/>
          <w:lang w:eastAsia="en-US"/>
        </w:rPr>
        <w:t>In such an event officers should seek an agreement with the County Council to fund this provision, as the County is the main beneficiary from the provision of this support.</w:t>
      </w:r>
    </w:p>
    <w:p w:rsidR="007D67C5" w:rsidRPr="00B0514C" w:rsidRDefault="00205584" w:rsidP="00B0514C">
      <w:pPr>
        <w:pStyle w:val="Heading1"/>
        <w:rPr>
          <w:rFonts w:eastAsia="Calibri"/>
          <w:lang w:eastAsia="en-US"/>
        </w:rPr>
      </w:pPr>
      <w:r w:rsidRPr="00B0514C">
        <w:rPr>
          <w:rFonts w:eastAsia="Calibri"/>
          <w:lang w:eastAsia="en-US"/>
        </w:rPr>
        <w:t>Impact of Reducing Support</w:t>
      </w:r>
    </w:p>
    <w:p w:rsidR="00205584"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Informal benchmarking shows that 81% is the average collection rate of additional Council Tax raised by reducing support in the CTR scheme. </w:t>
      </w:r>
      <w:r w:rsidR="00823514" w:rsidRPr="00B0514C">
        <w:rPr>
          <w:rFonts w:eastAsia="Calibri" w:cs="Arial"/>
          <w:color w:val="auto"/>
          <w:lang w:eastAsia="en-US"/>
        </w:rPr>
        <w:t>These figures are taken from six Local Authorities whose overall Council Tax collection performance ranges from top quartile to bottom quartile for 2015/16. Oxford’s performance for 2015/16 was at the top of the third quartile.</w:t>
      </w:r>
      <w:r w:rsidR="001324CF" w:rsidRPr="00B0514C">
        <w:rPr>
          <w:rFonts w:eastAsia="Calibri" w:cs="Arial"/>
          <w:color w:val="auto"/>
          <w:lang w:eastAsia="en-US"/>
        </w:rPr>
        <w:t xml:space="preserve"> </w:t>
      </w:r>
      <w:r w:rsidRPr="00B0514C">
        <w:rPr>
          <w:rFonts w:eastAsia="Calibri" w:cs="Arial"/>
          <w:color w:val="auto"/>
          <w:lang w:eastAsia="en-US"/>
        </w:rPr>
        <w:t xml:space="preserve">Applying this to Option 10 above (applying a minimum 30% charge), means that the potential saving of £370,831 becomes an actual saving of £296,665. </w:t>
      </w:r>
    </w:p>
    <w:p w:rsidR="00B0514C" w:rsidRPr="00B0514C" w:rsidRDefault="00B0514C" w:rsidP="00B0514C">
      <w:pPr>
        <w:pStyle w:val="ListParagraph"/>
        <w:numPr>
          <w:ilvl w:val="0"/>
          <w:numId w:val="0"/>
        </w:numPr>
        <w:spacing w:after="0"/>
        <w:ind w:left="36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As the additional charge </w:t>
      </w:r>
      <w:r w:rsidR="00701DD9" w:rsidRPr="00B0514C">
        <w:rPr>
          <w:rFonts w:eastAsia="Calibri" w:cs="Arial"/>
          <w:color w:val="auto"/>
          <w:lang w:eastAsia="en-US"/>
        </w:rPr>
        <w:t>will be</w:t>
      </w:r>
      <w:r w:rsidRPr="00B0514C">
        <w:rPr>
          <w:rFonts w:eastAsia="Calibri" w:cs="Arial"/>
          <w:color w:val="auto"/>
          <w:lang w:eastAsia="en-US"/>
        </w:rPr>
        <w:t xml:space="preserve"> levied on people on low incomes it is likely that </w:t>
      </w:r>
      <w:r w:rsidR="00823514" w:rsidRPr="00B0514C">
        <w:rPr>
          <w:rFonts w:eastAsia="Calibri" w:cs="Arial"/>
          <w:color w:val="auto"/>
          <w:lang w:eastAsia="en-US"/>
        </w:rPr>
        <w:t>additional recovery work will be required</w:t>
      </w:r>
      <w:r w:rsidR="00B46F73" w:rsidRPr="00B0514C">
        <w:rPr>
          <w:rFonts w:eastAsia="Calibri" w:cs="Arial"/>
          <w:color w:val="auto"/>
          <w:lang w:eastAsia="en-US"/>
        </w:rPr>
        <w:t>, thereby increasing cost</w:t>
      </w:r>
      <w:r w:rsidRPr="00B0514C">
        <w:rPr>
          <w:rFonts w:eastAsia="Calibri" w:cs="Arial"/>
          <w:color w:val="auto"/>
          <w:lang w:eastAsia="en-US"/>
        </w:rPr>
        <w:t xml:space="preserve">. </w:t>
      </w:r>
      <w:r w:rsidR="002A27B7" w:rsidRPr="00B0514C">
        <w:rPr>
          <w:rFonts w:eastAsia="Calibri" w:cs="Arial"/>
          <w:color w:val="auto"/>
          <w:lang w:eastAsia="en-US"/>
        </w:rPr>
        <w:t xml:space="preserve">It is estimated that </w:t>
      </w:r>
      <w:r w:rsidR="00180888" w:rsidRPr="00B0514C">
        <w:rPr>
          <w:rFonts w:eastAsia="Calibri" w:cs="Arial"/>
          <w:color w:val="auto"/>
          <w:lang w:eastAsia="en-US"/>
        </w:rPr>
        <w:t xml:space="preserve">if Option 10 was implemented, </w:t>
      </w:r>
      <w:r w:rsidR="002A27B7" w:rsidRPr="00B0514C">
        <w:rPr>
          <w:rFonts w:eastAsia="Calibri" w:cs="Arial"/>
          <w:color w:val="auto"/>
          <w:lang w:eastAsia="en-US"/>
        </w:rPr>
        <w:t>an additional two full time members of staff would be required to manage this increase in work, at a cost of</w:t>
      </w:r>
      <w:r w:rsidR="006F07DB" w:rsidRPr="00B0514C">
        <w:rPr>
          <w:rFonts w:eastAsia="Calibri" w:cs="Arial"/>
          <w:color w:val="auto"/>
          <w:lang w:eastAsia="en-US"/>
        </w:rPr>
        <w:t xml:space="preserve"> £65,000.</w:t>
      </w:r>
      <w:r w:rsidR="002A27B7" w:rsidRPr="00B0514C">
        <w:rPr>
          <w:rFonts w:eastAsia="Calibri" w:cs="Arial"/>
          <w:color w:val="auto"/>
          <w:lang w:eastAsia="en-US"/>
        </w:rPr>
        <w:t xml:space="preserve"> </w:t>
      </w:r>
    </w:p>
    <w:p w:rsidR="007D67C5" w:rsidRPr="00B0514C" w:rsidRDefault="002329CF" w:rsidP="00B0514C">
      <w:pPr>
        <w:pStyle w:val="Heading1"/>
      </w:pPr>
      <w:r w:rsidRPr="00B0514C">
        <w:t>Financial implications</w:t>
      </w:r>
    </w:p>
    <w:p w:rsidR="00E87F7A" w:rsidRPr="00B0514C" w:rsidRDefault="0008331A" w:rsidP="00B0514C">
      <w:pPr>
        <w:pStyle w:val="Heading1"/>
        <w:numPr>
          <w:ilvl w:val="0"/>
          <w:numId w:val="34"/>
        </w:numPr>
        <w:ind w:left="426"/>
        <w:rPr>
          <w:rFonts w:cs="Arial"/>
          <w:b w:val="0"/>
        </w:rPr>
      </w:pPr>
      <w:r w:rsidRPr="00B0514C">
        <w:rPr>
          <w:rFonts w:cs="Arial"/>
          <w:b w:val="0"/>
        </w:rPr>
        <w:t xml:space="preserve">The current cost of the CTR scheme has been factored into the Council’s Medium Term Financial Plan, and so is budgeted for until 2021/22. However, as outlined above, the Council will bear the full cost for its share of the scheme from 2019/20, and the cost of the scheme </w:t>
      </w:r>
      <w:r w:rsidR="00BD09A8" w:rsidRPr="00B0514C">
        <w:rPr>
          <w:rFonts w:cs="Arial"/>
          <w:b w:val="0"/>
        </w:rPr>
        <w:t xml:space="preserve">will </w:t>
      </w:r>
      <w:r w:rsidRPr="00B0514C">
        <w:rPr>
          <w:rFonts w:cs="Arial"/>
          <w:b w:val="0"/>
        </w:rPr>
        <w:t>increase year on year from this point</w:t>
      </w:r>
      <w:r w:rsidR="00BD09A8" w:rsidRPr="00B0514C">
        <w:rPr>
          <w:rFonts w:cs="Arial"/>
          <w:b w:val="0"/>
        </w:rPr>
        <w:t xml:space="preserve"> as a consequence of Council Tax Increasing</w:t>
      </w:r>
      <w:r w:rsidRPr="00B0514C">
        <w:rPr>
          <w:rFonts w:cs="Arial"/>
          <w:b w:val="0"/>
        </w:rPr>
        <w:t>.</w:t>
      </w:r>
    </w:p>
    <w:p w:rsidR="003B34D4" w:rsidRPr="00B0514C" w:rsidRDefault="003B34D4" w:rsidP="00B0514C">
      <w:pPr>
        <w:pStyle w:val="ListParagraph"/>
        <w:numPr>
          <w:ilvl w:val="0"/>
          <w:numId w:val="34"/>
        </w:numPr>
        <w:ind w:left="426"/>
        <w:rPr>
          <w:rFonts w:cs="Arial"/>
        </w:rPr>
      </w:pPr>
      <w:r w:rsidRPr="00B0514C">
        <w:rPr>
          <w:rFonts w:cs="Arial"/>
        </w:rPr>
        <w:lastRenderedPageBreak/>
        <w:t xml:space="preserve">As </w:t>
      </w:r>
      <w:r w:rsidR="00FA2205" w:rsidRPr="00B0514C">
        <w:rPr>
          <w:rFonts w:cs="Arial"/>
        </w:rPr>
        <w:t>the County C</w:t>
      </w:r>
      <w:r w:rsidRPr="00B0514C">
        <w:rPr>
          <w:rFonts w:cs="Arial"/>
        </w:rPr>
        <w:t>ouncil</w:t>
      </w:r>
      <w:r w:rsidR="00FA2205" w:rsidRPr="00B0514C">
        <w:rPr>
          <w:rFonts w:cs="Arial"/>
        </w:rPr>
        <w:t xml:space="preserve"> are the principal </w:t>
      </w:r>
      <w:proofErr w:type="spellStart"/>
      <w:r w:rsidR="00FA2205" w:rsidRPr="00B0514C">
        <w:rPr>
          <w:rFonts w:cs="Arial"/>
        </w:rPr>
        <w:t>precepting</w:t>
      </w:r>
      <w:proofErr w:type="spellEnd"/>
      <w:r w:rsidR="00FA2205" w:rsidRPr="00B0514C">
        <w:rPr>
          <w:rFonts w:cs="Arial"/>
        </w:rPr>
        <w:t xml:space="preserve"> authority</w:t>
      </w:r>
      <w:r w:rsidRPr="00B0514C">
        <w:rPr>
          <w:rFonts w:cs="Arial"/>
        </w:rPr>
        <w:t xml:space="preserve">, it is </w:t>
      </w:r>
      <w:r w:rsidR="00FA2205" w:rsidRPr="00B0514C">
        <w:rPr>
          <w:rFonts w:cs="Arial"/>
        </w:rPr>
        <w:t xml:space="preserve">difficult </w:t>
      </w:r>
      <w:r w:rsidRPr="00B0514C">
        <w:rPr>
          <w:rFonts w:cs="Arial"/>
        </w:rPr>
        <w:t xml:space="preserve">for </w:t>
      </w:r>
      <w:r w:rsidR="00701DD9" w:rsidRPr="00B0514C">
        <w:rPr>
          <w:rFonts w:cs="Arial"/>
        </w:rPr>
        <w:t xml:space="preserve">Oxford </w:t>
      </w:r>
      <w:r w:rsidR="00D44123" w:rsidRPr="00B0514C">
        <w:rPr>
          <w:rFonts w:cs="Arial"/>
        </w:rPr>
        <w:t>City Council</w:t>
      </w:r>
      <w:r w:rsidRPr="00B0514C">
        <w:rPr>
          <w:rFonts w:cs="Arial"/>
        </w:rPr>
        <w:t xml:space="preserve"> to make significant savings in its cost of support</w:t>
      </w:r>
      <w:r w:rsidR="00FA2205" w:rsidRPr="00B0514C">
        <w:rPr>
          <w:rFonts w:cs="Arial"/>
        </w:rPr>
        <w:t>, i.e.</w:t>
      </w:r>
      <w:r w:rsidRPr="00B0514C">
        <w:rPr>
          <w:rFonts w:cs="Arial"/>
        </w:rPr>
        <w:t xml:space="preserve"> to save £1 an additional £6 must be raised</w:t>
      </w:r>
      <w:r w:rsidR="00FA2205" w:rsidRPr="00B0514C">
        <w:rPr>
          <w:rFonts w:cs="Arial"/>
        </w:rPr>
        <w:t>.</w:t>
      </w:r>
    </w:p>
    <w:p w:rsidR="003B34D4" w:rsidRPr="00B0514C" w:rsidRDefault="00DA614B" w:rsidP="00B0514C">
      <w:pPr>
        <w:pStyle w:val="Heading1"/>
      </w:pPr>
      <w:r w:rsidRPr="00B0514C">
        <w:t>Legal issues</w:t>
      </w:r>
    </w:p>
    <w:p w:rsidR="0008331A" w:rsidRPr="00B0514C" w:rsidRDefault="0008331A" w:rsidP="00B0514C">
      <w:pPr>
        <w:pStyle w:val="Heading1"/>
        <w:numPr>
          <w:ilvl w:val="0"/>
          <w:numId w:val="34"/>
        </w:numPr>
        <w:ind w:left="426"/>
        <w:rPr>
          <w:rFonts w:cs="Arial"/>
          <w:b w:val="0"/>
        </w:rPr>
      </w:pPr>
      <w:r w:rsidRPr="00B0514C">
        <w:rPr>
          <w:rFonts w:cs="Arial"/>
          <w:b w:val="0"/>
        </w:rPr>
        <w:t>In considering changes to the CTR scheme, the Council must take into account the provisions of The Council Tax Reduction Schemes (Prescribed Requirements) (England) 2012 and subsequent amendments.</w:t>
      </w:r>
    </w:p>
    <w:p w:rsidR="0008331A" w:rsidRPr="00B0514C" w:rsidRDefault="0008331A" w:rsidP="00B0514C">
      <w:pPr>
        <w:pStyle w:val="Heading1"/>
        <w:numPr>
          <w:ilvl w:val="0"/>
          <w:numId w:val="34"/>
        </w:numPr>
        <w:ind w:left="426"/>
        <w:rPr>
          <w:rFonts w:cs="Arial"/>
          <w:b w:val="0"/>
        </w:rPr>
      </w:pPr>
      <w:r w:rsidRPr="00B0514C">
        <w:rPr>
          <w:rFonts w:cs="Arial"/>
          <w:b w:val="0"/>
        </w:rPr>
        <w:t xml:space="preserve">Since the </w:t>
      </w:r>
      <w:r w:rsidR="00FA2205" w:rsidRPr="00B0514C">
        <w:rPr>
          <w:rFonts w:cs="Arial"/>
          <w:b w:val="0"/>
        </w:rPr>
        <w:t>introduction</w:t>
      </w:r>
      <w:r w:rsidRPr="00B0514C">
        <w:rPr>
          <w:rFonts w:cs="Arial"/>
          <w:b w:val="0"/>
        </w:rPr>
        <w:t xml:space="preserve"> of CTR</w:t>
      </w:r>
      <w:r w:rsidR="00701DD9" w:rsidRPr="00B0514C">
        <w:rPr>
          <w:rFonts w:cs="Arial"/>
          <w:b w:val="0"/>
        </w:rPr>
        <w:t xml:space="preserve"> schemes, </w:t>
      </w:r>
      <w:r w:rsidRPr="00B0514C">
        <w:rPr>
          <w:rFonts w:cs="Arial"/>
          <w:b w:val="0"/>
        </w:rPr>
        <w:t xml:space="preserve">there have been a number of legal challenges </w:t>
      </w:r>
      <w:r w:rsidR="00701DD9" w:rsidRPr="00B0514C">
        <w:rPr>
          <w:rFonts w:cs="Arial"/>
          <w:b w:val="0"/>
        </w:rPr>
        <w:t>against</w:t>
      </w:r>
      <w:r w:rsidRPr="00B0514C">
        <w:rPr>
          <w:rFonts w:cs="Arial"/>
          <w:b w:val="0"/>
        </w:rPr>
        <w:t xml:space="preserve"> </w:t>
      </w:r>
      <w:r w:rsidR="00FA2205" w:rsidRPr="00B0514C">
        <w:rPr>
          <w:rFonts w:cs="Arial"/>
          <w:b w:val="0"/>
        </w:rPr>
        <w:t xml:space="preserve">local </w:t>
      </w:r>
      <w:r w:rsidRPr="00B0514C">
        <w:rPr>
          <w:rFonts w:cs="Arial"/>
          <w:b w:val="0"/>
        </w:rPr>
        <w:t xml:space="preserve">schemes. Most of these challenges have been </w:t>
      </w:r>
      <w:r w:rsidR="00701DD9" w:rsidRPr="00B0514C">
        <w:rPr>
          <w:rFonts w:cs="Arial"/>
          <w:b w:val="0"/>
        </w:rPr>
        <w:t>mounted in relation to</w:t>
      </w:r>
      <w:r w:rsidR="00FA2205" w:rsidRPr="00B0514C">
        <w:rPr>
          <w:rFonts w:cs="Arial"/>
          <w:b w:val="0"/>
        </w:rPr>
        <w:t xml:space="preserve"> </w:t>
      </w:r>
      <w:r w:rsidRPr="00B0514C">
        <w:rPr>
          <w:rFonts w:cs="Arial"/>
          <w:b w:val="0"/>
        </w:rPr>
        <w:t xml:space="preserve">the consultation </w:t>
      </w:r>
      <w:r w:rsidR="00701DD9" w:rsidRPr="00B0514C">
        <w:rPr>
          <w:rFonts w:cs="Arial"/>
          <w:b w:val="0"/>
        </w:rPr>
        <w:t>undertaken</w:t>
      </w:r>
      <w:r w:rsidRPr="00B0514C">
        <w:rPr>
          <w:rFonts w:cs="Arial"/>
          <w:b w:val="0"/>
        </w:rPr>
        <w:t xml:space="preserve"> and </w:t>
      </w:r>
      <w:r w:rsidR="00701DD9" w:rsidRPr="00B0514C">
        <w:rPr>
          <w:rFonts w:cs="Arial"/>
          <w:b w:val="0"/>
        </w:rPr>
        <w:t>have questioned whether</w:t>
      </w:r>
      <w:r w:rsidRPr="00B0514C">
        <w:rPr>
          <w:rFonts w:cs="Arial"/>
          <w:b w:val="0"/>
        </w:rPr>
        <w:t xml:space="preserve"> due regard was given to the equality impact assessment when changes </w:t>
      </w:r>
      <w:r w:rsidR="00701DD9" w:rsidRPr="00B0514C">
        <w:rPr>
          <w:rFonts w:cs="Arial"/>
          <w:b w:val="0"/>
        </w:rPr>
        <w:t>were made to</w:t>
      </w:r>
      <w:r w:rsidRPr="00B0514C">
        <w:rPr>
          <w:rFonts w:cs="Arial"/>
          <w:b w:val="0"/>
        </w:rPr>
        <w:t xml:space="preserve"> scheme</w:t>
      </w:r>
      <w:r w:rsidR="00701DD9" w:rsidRPr="00B0514C">
        <w:rPr>
          <w:rFonts w:cs="Arial"/>
          <w:b w:val="0"/>
        </w:rPr>
        <w:t>s</w:t>
      </w:r>
      <w:r w:rsidRPr="00B0514C">
        <w:rPr>
          <w:rFonts w:cs="Arial"/>
          <w:b w:val="0"/>
        </w:rPr>
        <w:t>. A Supreme Court ruling in 2014 – R (Moseley) v London Borough of Haringey has meant that consultation on changes to Council Tax Reduction schemes must also include an option on how the current scheme could be retained on the same level of funding</w:t>
      </w:r>
      <w:r w:rsidR="00701DD9" w:rsidRPr="00B0514C">
        <w:rPr>
          <w:rFonts w:cs="Arial"/>
          <w:b w:val="0"/>
        </w:rPr>
        <w:t>. This would be funded through</w:t>
      </w:r>
      <w:r w:rsidR="00FA2205" w:rsidRPr="00B0514C">
        <w:rPr>
          <w:rFonts w:cs="Arial"/>
          <w:b w:val="0"/>
        </w:rPr>
        <w:t xml:space="preserve"> </w:t>
      </w:r>
      <w:r w:rsidRPr="00B0514C">
        <w:rPr>
          <w:rFonts w:cs="Arial"/>
          <w:b w:val="0"/>
        </w:rPr>
        <w:t xml:space="preserve">reductions in </w:t>
      </w:r>
      <w:r w:rsidR="00701DD9" w:rsidRPr="00B0514C">
        <w:rPr>
          <w:rFonts w:cs="Arial"/>
          <w:b w:val="0"/>
        </w:rPr>
        <w:t xml:space="preserve">funding for </w:t>
      </w:r>
      <w:r w:rsidR="00FA2205" w:rsidRPr="00B0514C">
        <w:rPr>
          <w:rFonts w:cs="Arial"/>
          <w:b w:val="0"/>
        </w:rPr>
        <w:t xml:space="preserve">other </w:t>
      </w:r>
      <w:r w:rsidRPr="00B0514C">
        <w:rPr>
          <w:rFonts w:cs="Arial"/>
          <w:b w:val="0"/>
        </w:rPr>
        <w:t xml:space="preserve">services.  As such, there are questions in the consultation </w:t>
      </w:r>
      <w:r w:rsidR="00701DD9" w:rsidRPr="00B0514C">
        <w:rPr>
          <w:rFonts w:cs="Arial"/>
          <w:b w:val="0"/>
        </w:rPr>
        <w:t xml:space="preserve">paper </w:t>
      </w:r>
      <w:r w:rsidRPr="00B0514C">
        <w:rPr>
          <w:rFonts w:cs="Arial"/>
          <w:b w:val="0"/>
        </w:rPr>
        <w:t>on these options.</w:t>
      </w:r>
    </w:p>
    <w:p w:rsidR="002329CF" w:rsidRPr="00B0514C" w:rsidRDefault="002329CF" w:rsidP="00B0514C">
      <w:pPr>
        <w:pStyle w:val="Heading1"/>
      </w:pPr>
      <w:r w:rsidRPr="00B0514C">
        <w:t>Level of risk</w:t>
      </w:r>
    </w:p>
    <w:p w:rsidR="0008331A" w:rsidRPr="00B0514C" w:rsidRDefault="0008331A" w:rsidP="00B0514C">
      <w:pPr>
        <w:pStyle w:val="ListParagraph"/>
        <w:numPr>
          <w:ilvl w:val="0"/>
          <w:numId w:val="34"/>
        </w:numPr>
        <w:ind w:left="426"/>
        <w:rPr>
          <w:rFonts w:cs="Arial"/>
        </w:rPr>
      </w:pPr>
      <w:r w:rsidRPr="00B0514C">
        <w:rPr>
          <w:rFonts w:cs="Arial"/>
        </w:rPr>
        <w:t xml:space="preserve">A risk register is attached at Appendix </w:t>
      </w:r>
      <w:r w:rsidR="00FA2205" w:rsidRPr="00B0514C">
        <w:rPr>
          <w:rFonts w:cs="Arial"/>
        </w:rPr>
        <w:t>T</w:t>
      </w:r>
      <w:r w:rsidR="007D67C5" w:rsidRPr="00B0514C">
        <w:rPr>
          <w:rFonts w:cs="Arial"/>
        </w:rPr>
        <w:t>hree</w:t>
      </w:r>
      <w:r w:rsidR="003F1129" w:rsidRPr="00B0514C">
        <w:rPr>
          <w:rFonts w:cs="Arial"/>
        </w:rPr>
        <w:t xml:space="preserve">. The </w:t>
      </w:r>
      <w:r w:rsidR="003756E3" w:rsidRPr="00B0514C">
        <w:rPr>
          <w:rFonts w:cs="Arial"/>
        </w:rPr>
        <w:t>identified</w:t>
      </w:r>
      <w:r w:rsidR="003F1129" w:rsidRPr="00B0514C">
        <w:rPr>
          <w:rFonts w:cs="Arial"/>
        </w:rPr>
        <w:t xml:space="preserve"> risks relate to the undertaking of consultation, rather than </w:t>
      </w:r>
      <w:r w:rsidR="003756E3" w:rsidRPr="00B0514C">
        <w:rPr>
          <w:rFonts w:cs="Arial"/>
        </w:rPr>
        <w:t xml:space="preserve">the changes to the CTR scheme. </w:t>
      </w:r>
    </w:p>
    <w:p w:rsidR="002329CF" w:rsidRPr="00B0514C" w:rsidRDefault="002329CF" w:rsidP="00B0514C">
      <w:pPr>
        <w:pStyle w:val="Heading1"/>
      </w:pPr>
      <w:r w:rsidRPr="00B0514C">
        <w:t xml:space="preserve">Equalities impact </w:t>
      </w:r>
    </w:p>
    <w:p w:rsidR="002329CF" w:rsidRPr="00B0514C" w:rsidRDefault="0008331A" w:rsidP="00B0514C">
      <w:pPr>
        <w:pStyle w:val="ListParagraph"/>
        <w:numPr>
          <w:ilvl w:val="0"/>
          <w:numId w:val="34"/>
        </w:numPr>
        <w:ind w:left="426"/>
        <w:rPr>
          <w:rFonts w:cs="Arial"/>
        </w:rPr>
      </w:pPr>
      <w:r w:rsidRPr="00B0514C">
        <w:rPr>
          <w:rFonts w:cs="Arial"/>
        </w:rPr>
        <w:t xml:space="preserve">An Initial Equalities Impact Assessment is attached at Appendix </w:t>
      </w:r>
      <w:r w:rsidR="00FA2205" w:rsidRPr="00B0514C">
        <w:rPr>
          <w:rFonts w:cs="Arial"/>
        </w:rPr>
        <w:t>F</w:t>
      </w:r>
      <w:r w:rsidR="007D67C5" w:rsidRPr="00B0514C">
        <w:rPr>
          <w:rFonts w:cs="Arial"/>
        </w:rPr>
        <w:t>our</w:t>
      </w:r>
      <w:r w:rsidRPr="00B0514C">
        <w:rPr>
          <w:rFonts w:cs="Arial"/>
        </w:rPr>
        <w:t xml:space="preserve">. In the event that the consultation results in proposals </w:t>
      </w:r>
      <w:r w:rsidR="007D67C5" w:rsidRPr="00B0514C">
        <w:rPr>
          <w:rFonts w:cs="Arial"/>
        </w:rPr>
        <w:t>to</w:t>
      </w:r>
      <w:r w:rsidRPr="00B0514C">
        <w:rPr>
          <w:rFonts w:cs="Arial"/>
        </w:rPr>
        <w:t xml:space="preserve"> make changes to the CTR scheme, a full impact assessment will be conducted.</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8331A"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8331A" w:rsidP="0008331A">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8331A" w:rsidP="00A46E98">
            <w:r>
              <w:t>Welfare Reform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08331A"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8331A"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0514C">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D0" w:rsidRDefault="004022D0" w:rsidP="004A6D2F">
      <w:r>
        <w:separator/>
      </w:r>
    </w:p>
  </w:endnote>
  <w:endnote w:type="continuationSeparator" w:id="0">
    <w:p w:rsidR="004022D0" w:rsidRDefault="004022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Do not use a footer or page numbers.</w:t>
    </w:r>
  </w:p>
  <w:p w:rsidR="0008331A" w:rsidRDefault="0008331A" w:rsidP="004A6D2F">
    <w:pPr>
      <w:pStyle w:val="Footer"/>
    </w:pPr>
  </w:p>
  <w:p w:rsidR="0008331A" w:rsidRDefault="0008331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D0" w:rsidRDefault="004022D0" w:rsidP="004A6D2F">
      <w:r>
        <w:separator/>
      </w:r>
    </w:p>
  </w:footnote>
  <w:footnote w:type="continuationSeparator" w:id="0">
    <w:p w:rsidR="004022D0" w:rsidRDefault="004022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7B3182" w:rsidP="00D5547E">
    <w:pPr>
      <w:pStyle w:val="Header"/>
      <w:jc w:val="right"/>
    </w:pPr>
    <w:r>
      <w:rPr>
        <w:noProof/>
      </w:rPr>
      <w:drawing>
        <wp:inline distT="0" distB="0" distL="0" distR="0" wp14:anchorId="13325660" wp14:editId="0D285A46">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299"/>
    <w:rsid w:val="000314D7"/>
    <w:rsid w:val="00045F8B"/>
    <w:rsid w:val="00046D2B"/>
    <w:rsid w:val="0005249B"/>
    <w:rsid w:val="00056263"/>
    <w:rsid w:val="00064D8A"/>
    <w:rsid w:val="00064F82"/>
    <w:rsid w:val="00066510"/>
    <w:rsid w:val="000747BB"/>
    <w:rsid w:val="00077523"/>
    <w:rsid w:val="0008331A"/>
    <w:rsid w:val="000C089F"/>
    <w:rsid w:val="000C3928"/>
    <w:rsid w:val="000C5E8E"/>
    <w:rsid w:val="000F4669"/>
    <w:rsid w:val="000F4751"/>
    <w:rsid w:val="000F724C"/>
    <w:rsid w:val="0010524C"/>
    <w:rsid w:val="001116F9"/>
    <w:rsid w:val="00111FB1"/>
    <w:rsid w:val="00113418"/>
    <w:rsid w:val="0013023C"/>
    <w:rsid w:val="001324CF"/>
    <w:rsid w:val="001356F1"/>
    <w:rsid w:val="00136994"/>
    <w:rsid w:val="0014128E"/>
    <w:rsid w:val="00151888"/>
    <w:rsid w:val="00170A2D"/>
    <w:rsid w:val="00180888"/>
    <w:rsid w:val="001808BC"/>
    <w:rsid w:val="00182B81"/>
    <w:rsid w:val="0018619D"/>
    <w:rsid w:val="001A011E"/>
    <w:rsid w:val="001A066A"/>
    <w:rsid w:val="001A13E6"/>
    <w:rsid w:val="001A5731"/>
    <w:rsid w:val="001B42C3"/>
    <w:rsid w:val="001C5D5E"/>
    <w:rsid w:val="001D678D"/>
    <w:rsid w:val="001E03F8"/>
    <w:rsid w:val="001E1678"/>
    <w:rsid w:val="001E3376"/>
    <w:rsid w:val="001F43B3"/>
    <w:rsid w:val="001F4704"/>
    <w:rsid w:val="00202B12"/>
    <w:rsid w:val="00205584"/>
    <w:rsid w:val="002069B3"/>
    <w:rsid w:val="002329CF"/>
    <w:rsid w:val="00232F5B"/>
    <w:rsid w:val="00247C29"/>
    <w:rsid w:val="00260467"/>
    <w:rsid w:val="00263EA3"/>
    <w:rsid w:val="002668A9"/>
    <w:rsid w:val="00284F85"/>
    <w:rsid w:val="00290915"/>
    <w:rsid w:val="002A22E2"/>
    <w:rsid w:val="002A27B7"/>
    <w:rsid w:val="002C64F7"/>
    <w:rsid w:val="002F41F2"/>
    <w:rsid w:val="00301BF3"/>
    <w:rsid w:val="0030208D"/>
    <w:rsid w:val="00323418"/>
    <w:rsid w:val="003357BF"/>
    <w:rsid w:val="00364FAD"/>
    <w:rsid w:val="0036738F"/>
    <w:rsid w:val="0036759C"/>
    <w:rsid w:val="00367AE5"/>
    <w:rsid w:val="00367D71"/>
    <w:rsid w:val="003756E3"/>
    <w:rsid w:val="0038150A"/>
    <w:rsid w:val="003B34D4"/>
    <w:rsid w:val="003B6E75"/>
    <w:rsid w:val="003B7DA1"/>
    <w:rsid w:val="003D0379"/>
    <w:rsid w:val="003D23F1"/>
    <w:rsid w:val="003D2574"/>
    <w:rsid w:val="003D4C59"/>
    <w:rsid w:val="003F1129"/>
    <w:rsid w:val="003F4267"/>
    <w:rsid w:val="004022D0"/>
    <w:rsid w:val="00404032"/>
    <w:rsid w:val="0040736F"/>
    <w:rsid w:val="00412C1F"/>
    <w:rsid w:val="00421CB2"/>
    <w:rsid w:val="004268B9"/>
    <w:rsid w:val="00433B96"/>
    <w:rsid w:val="004440F1"/>
    <w:rsid w:val="004456DD"/>
    <w:rsid w:val="00445803"/>
    <w:rsid w:val="00446CDF"/>
    <w:rsid w:val="004521B7"/>
    <w:rsid w:val="00462AB5"/>
    <w:rsid w:val="00465EAF"/>
    <w:rsid w:val="004738C5"/>
    <w:rsid w:val="00491046"/>
    <w:rsid w:val="004A2AC7"/>
    <w:rsid w:val="004A6D2F"/>
    <w:rsid w:val="004C2887"/>
    <w:rsid w:val="004C31E5"/>
    <w:rsid w:val="004C4373"/>
    <w:rsid w:val="004D2626"/>
    <w:rsid w:val="004D6E26"/>
    <w:rsid w:val="004D77D3"/>
    <w:rsid w:val="004E2959"/>
    <w:rsid w:val="004E7B1B"/>
    <w:rsid w:val="004F20EF"/>
    <w:rsid w:val="0050321C"/>
    <w:rsid w:val="005105B3"/>
    <w:rsid w:val="00517719"/>
    <w:rsid w:val="0053407D"/>
    <w:rsid w:val="0054712D"/>
    <w:rsid w:val="00547EF6"/>
    <w:rsid w:val="005570B5"/>
    <w:rsid w:val="00567E18"/>
    <w:rsid w:val="00575F5F"/>
    <w:rsid w:val="00581805"/>
    <w:rsid w:val="00585F76"/>
    <w:rsid w:val="005A34E4"/>
    <w:rsid w:val="005B17F2"/>
    <w:rsid w:val="005B7188"/>
    <w:rsid w:val="005B7FB0"/>
    <w:rsid w:val="005C17A6"/>
    <w:rsid w:val="005C35A5"/>
    <w:rsid w:val="005C577C"/>
    <w:rsid w:val="005D0621"/>
    <w:rsid w:val="005D1E27"/>
    <w:rsid w:val="005D2A3E"/>
    <w:rsid w:val="005E022E"/>
    <w:rsid w:val="005E5215"/>
    <w:rsid w:val="005F7F7E"/>
    <w:rsid w:val="00614693"/>
    <w:rsid w:val="00623C2F"/>
    <w:rsid w:val="00624855"/>
    <w:rsid w:val="00633578"/>
    <w:rsid w:val="00637068"/>
    <w:rsid w:val="00650811"/>
    <w:rsid w:val="00661D3E"/>
    <w:rsid w:val="006841DF"/>
    <w:rsid w:val="00685D85"/>
    <w:rsid w:val="00692627"/>
    <w:rsid w:val="006969E7"/>
    <w:rsid w:val="006A3643"/>
    <w:rsid w:val="006C2A29"/>
    <w:rsid w:val="006C64CF"/>
    <w:rsid w:val="006D17B1"/>
    <w:rsid w:val="006D4752"/>
    <w:rsid w:val="006D708A"/>
    <w:rsid w:val="006D734A"/>
    <w:rsid w:val="006E14C1"/>
    <w:rsid w:val="006F0292"/>
    <w:rsid w:val="006F07DB"/>
    <w:rsid w:val="006F27FA"/>
    <w:rsid w:val="006F416B"/>
    <w:rsid w:val="006F519B"/>
    <w:rsid w:val="00701DD9"/>
    <w:rsid w:val="00713675"/>
    <w:rsid w:val="00715823"/>
    <w:rsid w:val="00737B93"/>
    <w:rsid w:val="007414A4"/>
    <w:rsid w:val="00745BF0"/>
    <w:rsid w:val="007615FE"/>
    <w:rsid w:val="0076655C"/>
    <w:rsid w:val="007742DC"/>
    <w:rsid w:val="00791437"/>
    <w:rsid w:val="007A384C"/>
    <w:rsid w:val="007B0C2C"/>
    <w:rsid w:val="007B278E"/>
    <w:rsid w:val="007B3182"/>
    <w:rsid w:val="007C5C23"/>
    <w:rsid w:val="007D1A49"/>
    <w:rsid w:val="007D67C5"/>
    <w:rsid w:val="007E2A26"/>
    <w:rsid w:val="007E5F84"/>
    <w:rsid w:val="007F2348"/>
    <w:rsid w:val="00803F07"/>
    <w:rsid w:val="0080749A"/>
    <w:rsid w:val="00821B07"/>
    <w:rsid w:val="00821FB8"/>
    <w:rsid w:val="00822ACD"/>
    <w:rsid w:val="00823514"/>
    <w:rsid w:val="00841A90"/>
    <w:rsid w:val="00855C66"/>
    <w:rsid w:val="00871EE4"/>
    <w:rsid w:val="00891B57"/>
    <w:rsid w:val="008B293F"/>
    <w:rsid w:val="008B7371"/>
    <w:rsid w:val="008D3DDB"/>
    <w:rsid w:val="008F573F"/>
    <w:rsid w:val="009034EC"/>
    <w:rsid w:val="00920D0C"/>
    <w:rsid w:val="0093067A"/>
    <w:rsid w:val="00941C60"/>
    <w:rsid w:val="00961166"/>
    <w:rsid w:val="00966D42"/>
    <w:rsid w:val="00971689"/>
    <w:rsid w:val="00973E90"/>
    <w:rsid w:val="00974EE4"/>
    <w:rsid w:val="00975B07"/>
    <w:rsid w:val="00980B4A"/>
    <w:rsid w:val="009E3D0A"/>
    <w:rsid w:val="009E51FC"/>
    <w:rsid w:val="009F1D28"/>
    <w:rsid w:val="009F4ADD"/>
    <w:rsid w:val="009F7618"/>
    <w:rsid w:val="00A04D23"/>
    <w:rsid w:val="00A06766"/>
    <w:rsid w:val="00A13765"/>
    <w:rsid w:val="00A20BD7"/>
    <w:rsid w:val="00A21B12"/>
    <w:rsid w:val="00A23F80"/>
    <w:rsid w:val="00A46E98"/>
    <w:rsid w:val="00A6352B"/>
    <w:rsid w:val="00A701B5"/>
    <w:rsid w:val="00A714BB"/>
    <w:rsid w:val="00A851FE"/>
    <w:rsid w:val="00A86745"/>
    <w:rsid w:val="00A92D8F"/>
    <w:rsid w:val="00AA2DC2"/>
    <w:rsid w:val="00AB2988"/>
    <w:rsid w:val="00AB7999"/>
    <w:rsid w:val="00AD3292"/>
    <w:rsid w:val="00AE7AF0"/>
    <w:rsid w:val="00AF2208"/>
    <w:rsid w:val="00B0514C"/>
    <w:rsid w:val="00B46EA2"/>
    <w:rsid w:val="00B46F73"/>
    <w:rsid w:val="00B500CA"/>
    <w:rsid w:val="00B827A6"/>
    <w:rsid w:val="00B86314"/>
    <w:rsid w:val="00BA1C2E"/>
    <w:rsid w:val="00BC200B"/>
    <w:rsid w:val="00BC4756"/>
    <w:rsid w:val="00BC69A4"/>
    <w:rsid w:val="00BD09A8"/>
    <w:rsid w:val="00BD3E4E"/>
    <w:rsid w:val="00BE0680"/>
    <w:rsid w:val="00BE305F"/>
    <w:rsid w:val="00BE7BA3"/>
    <w:rsid w:val="00BF3BA1"/>
    <w:rsid w:val="00BF5682"/>
    <w:rsid w:val="00BF7B09"/>
    <w:rsid w:val="00C20A95"/>
    <w:rsid w:val="00C2692F"/>
    <w:rsid w:val="00C3207C"/>
    <w:rsid w:val="00C400E1"/>
    <w:rsid w:val="00C41187"/>
    <w:rsid w:val="00C4251B"/>
    <w:rsid w:val="00C42689"/>
    <w:rsid w:val="00C63C31"/>
    <w:rsid w:val="00C757A0"/>
    <w:rsid w:val="00C760DE"/>
    <w:rsid w:val="00C82630"/>
    <w:rsid w:val="00C85B4E"/>
    <w:rsid w:val="00C907F7"/>
    <w:rsid w:val="00C975CE"/>
    <w:rsid w:val="00CA2103"/>
    <w:rsid w:val="00CB6B99"/>
    <w:rsid w:val="00CE4C87"/>
    <w:rsid w:val="00CE544A"/>
    <w:rsid w:val="00CE7CB2"/>
    <w:rsid w:val="00D11E1C"/>
    <w:rsid w:val="00D160B0"/>
    <w:rsid w:val="00D17F94"/>
    <w:rsid w:val="00D223FC"/>
    <w:rsid w:val="00D26D1E"/>
    <w:rsid w:val="00D44123"/>
    <w:rsid w:val="00D474CF"/>
    <w:rsid w:val="00D5547E"/>
    <w:rsid w:val="00D63E2E"/>
    <w:rsid w:val="00D77C1A"/>
    <w:rsid w:val="00D838CD"/>
    <w:rsid w:val="00D869A1"/>
    <w:rsid w:val="00DA413F"/>
    <w:rsid w:val="00DA4584"/>
    <w:rsid w:val="00DA614B"/>
    <w:rsid w:val="00DB5599"/>
    <w:rsid w:val="00DC3060"/>
    <w:rsid w:val="00DE0FB2"/>
    <w:rsid w:val="00DF093E"/>
    <w:rsid w:val="00E00B60"/>
    <w:rsid w:val="00E01F42"/>
    <w:rsid w:val="00E206D6"/>
    <w:rsid w:val="00E3366E"/>
    <w:rsid w:val="00E52086"/>
    <w:rsid w:val="00E543A6"/>
    <w:rsid w:val="00E60479"/>
    <w:rsid w:val="00E61D73"/>
    <w:rsid w:val="00E73684"/>
    <w:rsid w:val="00E818D6"/>
    <w:rsid w:val="00E87F7A"/>
    <w:rsid w:val="00E9082F"/>
    <w:rsid w:val="00E96BD7"/>
    <w:rsid w:val="00EA0DB1"/>
    <w:rsid w:val="00EA0EE9"/>
    <w:rsid w:val="00EC2C89"/>
    <w:rsid w:val="00ED52CA"/>
    <w:rsid w:val="00ED5860"/>
    <w:rsid w:val="00EE35C9"/>
    <w:rsid w:val="00F01853"/>
    <w:rsid w:val="00F05ECA"/>
    <w:rsid w:val="00F3566E"/>
    <w:rsid w:val="00F375FB"/>
    <w:rsid w:val="00F41AC1"/>
    <w:rsid w:val="00F4367A"/>
    <w:rsid w:val="00F445B1"/>
    <w:rsid w:val="00F45CD4"/>
    <w:rsid w:val="00F66DCA"/>
    <w:rsid w:val="00F74F53"/>
    <w:rsid w:val="00F7606D"/>
    <w:rsid w:val="00F81670"/>
    <w:rsid w:val="00F82024"/>
    <w:rsid w:val="00F9018C"/>
    <w:rsid w:val="00F95BC9"/>
    <w:rsid w:val="00FA2205"/>
    <w:rsid w:val="00FA624C"/>
    <w:rsid w:val="00FB1EE0"/>
    <w:rsid w:val="00FD0FAC"/>
    <w:rsid w:val="00FD1DFA"/>
    <w:rsid w:val="00FD4966"/>
    <w:rsid w:val="00FE2880"/>
    <w:rsid w:val="00FE57DC"/>
    <w:rsid w:val="00FF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744-DC2F-4248-9E32-9A15543A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1711</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6</cp:revision>
  <cp:lastPrinted>2015-07-03T12:50:00Z</cp:lastPrinted>
  <dcterms:created xsi:type="dcterms:W3CDTF">2017-06-07T15:45:00Z</dcterms:created>
  <dcterms:modified xsi:type="dcterms:W3CDTF">2017-06-27T15:37:00Z</dcterms:modified>
</cp:coreProperties>
</file>